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Trabajar en coordinación cercana con l</w:t>
      </w:r>
      <w:r>
        <w:t>as Comisiones de Cuenca,</w:t>
      </w:r>
      <w:r w:rsidRPr="00093B17">
        <w:t xml:space="preserve"> sus gerencias técnicas-operativas </w:t>
      </w:r>
      <w:r>
        <w:t xml:space="preserve">y las universidades locales, </w:t>
      </w:r>
      <w:r w:rsidRPr="00093B17">
        <w:t>para asesorar la elaboración, ejecución y monitoreo de los planes rectores;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>
        <w:t>Asesorar a los Comités Asesores para la Conservación y Monitoreo de A</w:t>
      </w:r>
      <w:r w:rsidRPr="00093B17">
        <w:t>guas de l</w:t>
      </w:r>
      <w:r>
        <w:t>as Comisiones de Cuenca</w:t>
      </w:r>
      <w:r w:rsidRPr="00093B17">
        <w:t>, en el diseño de las medidas requeridas para la eliminación progresiva de las prácticas de sobreexplotación, acceso inequitativo y contaminación de aguas, con atención especial a los cambios requeridos en el sector agrícola;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 xml:space="preserve">Asesorar a los </w:t>
      </w:r>
      <w:r>
        <w:t>Consejos de Cuencas</w:t>
      </w:r>
      <w:r w:rsidRPr="00093B17">
        <w:t xml:space="preserve"> y sistemas de agua potable, alcantarillado y saneamiento en el diseño y prueba de tecnologías apropiadas para el ahorro del agua, para el aprovechamiento de aguas pluviales y residuales, y para sistemas descentralizados de saneamiento;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 xml:space="preserve">Asesorar a los </w:t>
      </w:r>
      <w:r>
        <w:t>Consejos de Cuencas</w:t>
      </w:r>
      <w:r w:rsidRPr="00093B17">
        <w:t xml:space="preserve"> en la delimitación de sus zonas de importancia hídrico-ambiental, así como en la elaboración y evaluación de acuerdos para lograr su mantenimiento o restauración;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 xml:space="preserve">Asesorar a los </w:t>
      </w:r>
      <w:r>
        <w:t>Consejos de Cuencas</w:t>
      </w:r>
      <w:r w:rsidRPr="00093B17">
        <w:t xml:space="preserve"> en la elaboración y ejecución de sus programas para la reducción de vulnerabilidad a sequías e inundaciones, así como en la adaptación al cambio climático;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Apoyar a la Contraloría Social del Agua en el monitoreo de la calidad del agua de fuentes y descargas, y en la construcción y actualización del Registro Nacional del Derecho Humano al Agua y Saneamiento;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Integrar y mantener actualizado al Sistema de Información y Monitoreo de Aguas y Cuencas, incluyendo la colaboración con el Instituto Nacional de Ecología y Cambio Climático para asegurar el buen diseño y funcionamiento de las estaciones de monitoreo meteorológico e hidrométrico en las cuencas;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 xml:space="preserve">Asesorar a los </w:t>
      </w:r>
      <w:r>
        <w:t>Consejos de Cuencas</w:t>
      </w:r>
      <w:r w:rsidRPr="00093B17">
        <w:t xml:space="preserve"> en la elaboración y actualización de sus Inventarios de cuerpos de agua e infraestructura hidráulica;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Colaborar con las gerencias técnica-operativas en la capacitación de recursos humanos para el diseño y operación de proyectos, obras y servicios en el ámbito local y de cuenca;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Coordinarse con el Consejo Nacional de Cuencas para promover la formación de personal en políticas y programas de sustentabilidad socio-hídrico-ambiental a nivel de cuencas y nacional;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Certificar a su personal para instrumentar el Sistema Nacional de Servicio Profesional de Carrera del Sector Agua en función de los principios de esta Ley;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Constituirse en el centro de excelencia en el conocimiento actualizado de la gestión integrada de los recursos hídricos, del derecho humano al agua y al saneamiento, y de la sustentabilidad hídrica del País;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lastRenderedPageBreak/>
        <w:t>Desarrollar y probar instrumentos de gestión integrada de recursos hídricos de diversa índole para apoyar el desarrollo del Sector Agua y coadyuvar en la solución de los problemas hídricos e hidráulicos del País;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Desarrollar y estrechar relaciones con las organizaciones internacionales vinculadas con los temas de agua y su gestión integrada, y establecer relaciones de intercambio académico y tecnológico con instituciones y organismos mexicanos, extranjeros o internacionales;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Realizar estudios especializados en materia de hidráulica, hidrología, control de la calidad del agua, de gestión integrada de los recursos hídricos, entre otros;</w:t>
      </w:r>
    </w:p>
    <w:p w:rsidR="00867F94" w:rsidRPr="00093B17" w:rsidRDefault="00867F94" w:rsidP="00867F94">
      <w:pPr>
        <w:pStyle w:val="fraccin"/>
        <w:numPr>
          <w:ilvl w:val="0"/>
          <w:numId w:val="1"/>
        </w:numPr>
      </w:pPr>
      <w:r w:rsidRPr="00093B17">
        <w:t>Proponer orientaciones y contenidos para la Estrategia Nacional;</w:t>
      </w:r>
    </w:p>
    <w:p w:rsidR="00867F94" w:rsidRPr="005929FC" w:rsidRDefault="00867F94" w:rsidP="00867F94">
      <w:pPr>
        <w:pStyle w:val="artculo"/>
        <w:numPr>
          <w:ilvl w:val="0"/>
          <w:numId w:val="1"/>
        </w:numPr>
        <w:rPr>
          <w:b w:val="0"/>
        </w:rPr>
      </w:pPr>
      <w:r w:rsidRPr="005929FC">
        <w:rPr>
          <w:b w:val="0"/>
        </w:rPr>
        <w:t>Sistematizar y publicar la información técnica asociada con los recursos hídricos del País, en coordinación con los Consejos de Cuencas y el Consejo Nacional de Cuencas;</w:t>
      </w:r>
    </w:p>
    <w:p w:rsidR="00867F94" w:rsidRPr="005929FC" w:rsidRDefault="00867F94" w:rsidP="00867F94">
      <w:pPr>
        <w:pStyle w:val="artculo"/>
        <w:numPr>
          <w:ilvl w:val="0"/>
          <w:numId w:val="1"/>
        </w:numPr>
        <w:rPr>
          <w:b w:val="0"/>
        </w:rPr>
      </w:pPr>
      <w:r w:rsidRPr="005929FC">
        <w:rPr>
          <w:b w:val="0"/>
        </w:rPr>
        <w:t>Desempeñar, a solicitud de los Consejos de Cuencas, funciones de arbitraje técnico y científico;</w:t>
      </w:r>
    </w:p>
    <w:p w:rsidR="00867F94" w:rsidRPr="005929FC" w:rsidRDefault="00867F94" w:rsidP="00867F94">
      <w:pPr>
        <w:pStyle w:val="artculo"/>
        <w:numPr>
          <w:ilvl w:val="0"/>
          <w:numId w:val="1"/>
        </w:numPr>
        <w:rPr>
          <w:b w:val="0"/>
        </w:rPr>
      </w:pPr>
      <w:r w:rsidRPr="005929FC">
        <w:rPr>
          <w:b w:val="0"/>
        </w:rPr>
        <w:t>Calibrar los dispositivos para la medición del agua en cantidad, y los equipos e instrumentos y enseres que faciliten la elevación de las eficiencias en la explotación, uso o aprovechamiento del agua;</w:t>
      </w:r>
    </w:p>
    <w:p w:rsidR="00867F94" w:rsidRPr="005929FC" w:rsidRDefault="00867F94" w:rsidP="00867F94">
      <w:pPr>
        <w:pStyle w:val="artculo"/>
        <w:numPr>
          <w:ilvl w:val="0"/>
          <w:numId w:val="1"/>
        </w:numPr>
        <w:rPr>
          <w:b w:val="0"/>
        </w:rPr>
      </w:pPr>
      <w:r w:rsidRPr="005929FC">
        <w:rPr>
          <w:b w:val="0"/>
        </w:rPr>
        <w:t>Promover la educación y la cultura en torno al agua que fomente en la sociedad la conciencia de que el acceso equitativo a agua de calidad requiere de la participación ciudadana en la gestión de cuencas; del establecimiento de límites y condicionantes al desarrollo urbano y otras actividades potencialmente dañinas, así como de la administración de sistemas locales de agua y saneamiento, y</w:t>
      </w:r>
    </w:p>
    <w:p w:rsidR="00867F94" w:rsidRPr="005929FC" w:rsidRDefault="00867F94" w:rsidP="00867F94">
      <w:pPr>
        <w:pStyle w:val="artculo"/>
        <w:numPr>
          <w:ilvl w:val="0"/>
          <w:numId w:val="1"/>
        </w:numPr>
        <w:rPr>
          <w:b w:val="0"/>
        </w:rPr>
      </w:pPr>
      <w:r w:rsidRPr="005929FC">
        <w:rPr>
          <w:b w:val="0"/>
        </w:rPr>
        <w:t>Las demás que le confieran otros instrumentos jurídicos.</w:t>
      </w:r>
    </w:p>
    <w:p w:rsidR="00642BD1" w:rsidRDefault="00642BD1">
      <w:bookmarkStart w:id="0" w:name="_GoBack"/>
      <w:bookmarkEnd w:id="0"/>
    </w:p>
    <w:sectPr w:rsidR="0064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AAB"/>
    <w:multiLevelType w:val="hybridMultilevel"/>
    <w:tmpl w:val="D31C73BE"/>
    <w:lvl w:ilvl="0" w:tplc="FBDA8666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81FA1"/>
    <w:multiLevelType w:val="hybridMultilevel"/>
    <w:tmpl w:val="D3EC9E06"/>
    <w:lvl w:ilvl="0" w:tplc="7E76139C">
      <w:start w:val="1"/>
      <w:numFmt w:val="upperRoman"/>
      <w:pStyle w:val="fracci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94"/>
    <w:rsid w:val="00642BD1"/>
    <w:rsid w:val="008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culo">
    <w:name w:val="artículo"/>
    <w:basedOn w:val="Normal"/>
    <w:autoRedefine/>
    <w:qFormat/>
    <w:rsid w:val="00867F94"/>
    <w:pPr>
      <w:spacing w:after="0" w:line="240" w:lineRule="auto"/>
      <w:jc w:val="both"/>
    </w:pPr>
    <w:rPr>
      <w:rFonts w:ascii="Calibri" w:eastAsia="Calibri" w:hAnsi="Calibri" w:cs="Arial"/>
      <w:b/>
      <w:szCs w:val="24"/>
      <w:lang w:eastAsia="es-MX"/>
    </w:rPr>
  </w:style>
  <w:style w:type="paragraph" w:customStyle="1" w:styleId="fraccin">
    <w:name w:val="fracción"/>
    <w:basedOn w:val="Normal"/>
    <w:qFormat/>
    <w:rsid w:val="00867F94"/>
    <w:pPr>
      <w:numPr>
        <w:numId w:val="2"/>
      </w:numPr>
      <w:spacing w:before="120" w:after="40" w:line="288" w:lineRule="auto"/>
      <w:jc w:val="both"/>
    </w:pPr>
    <w:rPr>
      <w:rFonts w:ascii="Calibri" w:eastAsia="Cambria" w:hAnsi="Calibri" w:cs="Cambria"/>
      <w:color w:val="00000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culo">
    <w:name w:val="artículo"/>
    <w:basedOn w:val="Normal"/>
    <w:autoRedefine/>
    <w:qFormat/>
    <w:rsid w:val="00867F94"/>
    <w:pPr>
      <w:spacing w:after="0" w:line="240" w:lineRule="auto"/>
      <w:jc w:val="both"/>
    </w:pPr>
    <w:rPr>
      <w:rFonts w:ascii="Calibri" w:eastAsia="Calibri" w:hAnsi="Calibri" w:cs="Arial"/>
      <w:b/>
      <w:szCs w:val="24"/>
      <w:lang w:eastAsia="es-MX"/>
    </w:rPr>
  </w:style>
  <w:style w:type="paragraph" w:customStyle="1" w:styleId="fraccin">
    <w:name w:val="fracción"/>
    <w:basedOn w:val="Normal"/>
    <w:qFormat/>
    <w:rsid w:val="00867F94"/>
    <w:pPr>
      <w:numPr>
        <w:numId w:val="2"/>
      </w:numPr>
      <w:spacing w:before="120" w:after="40" w:line="288" w:lineRule="auto"/>
      <w:jc w:val="both"/>
    </w:pPr>
    <w:rPr>
      <w:rFonts w:ascii="Calibri" w:eastAsia="Cambria" w:hAnsi="Calibri" w:cs="Cambria"/>
      <w:color w:val="00000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3569</Characters>
  <Application>Microsoft Office Word</Application>
  <DocSecurity>0</DocSecurity>
  <Lines>63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2016-11-23T00:49:00Z</dcterms:created>
  <dcterms:modified xsi:type="dcterms:W3CDTF">2016-11-23T00:49:00Z</dcterms:modified>
</cp:coreProperties>
</file>