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3" w:rsidRPr="00CD5526" w:rsidRDefault="00CD5526" w:rsidP="000205E3">
      <w:pPr>
        <w:keepNext/>
        <w:keepLines/>
        <w:spacing w:before="40" w:after="0"/>
        <w:jc w:val="center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8"/>
          <w:szCs w:val="24"/>
        </w:rPr>
      </w:pPr>
      <w:r w:rsidRPr="00CD5526">
        <w:rPr>
          <w:rFonts w:asciiTheme="majorHAnsi" w:eastAsiaTheme="majorEastAsia" w:hAnsiTheme="majorHAnsi" w:cstheme="majorBidi"/>
          <w:b/>
          <w:color w:val="000000" w:themeColor="text1"/>
          <w:sz w:val="28"/>
          <w:szCs w:val="24"/>
        </w:rPr>
        <w:t>En busca de cómo proteger y restaurar nuestras cuencas</w:t>
      </w:r>
    </w:p>
    <w:p w:rsidR="000205E3" w:rsidRDefault="000205E3" w:rsidP="00956C7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956C78" w:rsidRPr="00956C78" w:rsidRDefault="007A7952" w:rsidP="00956C7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La amenaza: Concesiones sin límites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La Ley de Aguas Nacionales (1992) buscó reemplazar los complejos e históricos sistemas de tenencia de las aguas de la Nación, con un sistema único de concesiones renovables y transferibles, entregadas bajo el principio de la LAN de que “el agua es de quien primero la solicita.”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Durante los primeros 10 años,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buscó registrar y otorgar concesiones a largo plazo a </w:t>
      </w:r>
      <w:r w:rsidRPr="00956C78">
        <w:rPr>
          <w:rFonts w:ascii="Calibri" w:eastAsia="Times New Roman" w:hAnsi="Calibri" w:cs="Times New Roman"/>
          <w:color w:val="222222"/>
          <w:u w:val="single"/>
          <w:lang w:eastAsia="es-MX"/>
        </w:rPr>
        <w:t>todas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los pozos y tomas de aguas superficiales, sin importar la existencia de vedas, la falta de disponibilidad o la prelación de usos.  Para agilizar el proceso, se eliminó la consulta pública que anteriormente fue pre-condición para el otorgamiento de una concesión.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A pesar de que las dotaciones de agua a ejidos y comunidades ya representaban propiedad,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generó gran confusión al respecto, al realizar intensivas campañas para que los núcleos agrarios las registraran en la forma de concesiones transferibles y caducables.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Además de las concesiones,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asignó</w:t>
      </w:r>
      <w:r w:rsidRPr="00956C78">
        <w:rPr>
          <w:rFonts w:ascii="Calibri" w:eastAsia="Times New Roman" w:hAnsi="Calibri" w:cs="Times New Roman"/>
          <w:color w:val="222222"/>
          <w:vertAlign w:val="superscript"/>
          <w:lang w:eastAsia="es-MX"/>
        </w:rPr>
        <w:footnoteReference w:id="1"/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enormes volúmenes de agua a entidades públicas.  En un primer momento, se asignó a las comisiones estatales, municipales, metropolitanos y del DF/Cd México de zonas urbanas, 300 litros/día por cada habitante (150 litros/día para zonas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semi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-urbanas y rurales), con la justificación de que los sistemas urbanos podrían sufragar sus gastos con la venta de agua potable a industrias. En años recientes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ha aumentado estos volúmenes, en anticipación de futuros acueductos de trasvase, a realizarse a través de asociaciones público-privadas, como es el caso con los 473 mil millones de litros anuales asignados a la comisión estatal de Nuevo León en anticipación del cuestionado proyecto Monterrey VI, o el nuevo volumen asignado al gobierno de Baja California, para su contrato con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Constellation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Brands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. 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El volumen asignado a la Comisión Federal de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Electrícidad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para la generación termoeléctrica representa el 5% del total concesionado. Las asignaciones para la generación hidroeléctrica, siendo un uso no consuntivo (a pesar de </w:t>
      </w:r>
      <w:proofErr w:type="gramStart"/>
      <w:r w:rsidRPr="00956C78">
        <w:rPr>
          <w:rFonts w:ascii="Calibri" w:eastAsia="Times New Roman" w:hAnsi="Calibri" w:cs="Times New Roman"/>
          <w:color w:val="222222"/>
          <w:lang w:eastAsia="es-MX"/>
        </w:rPr>
        <w:t>la ,</w:t>
      </w:r>
      <w:proofErr w:type="gram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 o asignado. recibió las comisiones estatales, municipales, del Distrito Federal (ahora Ciudad de México), a Pemex y a la Comisión Federal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>En su historia del proceso para el FAO</w:t>
      </w:r>
      <w:r w:rsidRPr="00956C78">
        <w:rPr>
          <w:rFonts w:ascii="Calibri" w:eastAsia="Times New Roman" w:hAnsi="Calibri" w:cs="Times New Roman"/>
          <w:color w:val="222222"/>
          <w:vertAlign w:val="superscript"/>
          <w:lang w:eastAsia="es-MX"/>
        </w:rPr>
        <w:footnoteReference w:id="2"/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, los Directores de Administración de Aguas Nacionales de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explican además que no pudieron prevenir que los concesionarios registraran volúmenes muy superiores a los que requerían, lo cual resultó inmediatamente en un vigoroso mercado de concesiones.  La teoría de la LAN fue que este mercado de concesiones conduciría a que el agua quedara en manos de los sectores y empresas más productivas y rentables.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El sistema de otorgamiento de concesiones fue opaco, arbitrario y discriminatorio en contra de los pueblos y a favor de los intereses más cercanos al régimen federal en turno.  Mientras que se entregaban concesiones a largo plazo a particulares sin importar la existencia de vedas o la falta de disponibilidad, a los pueblos originarios no se les informaron del sistema de registro, y sin su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lastRenderedPageBreak/>
        <w:t xml:space="preserve">conocimiento, sus fuentes de agua fueron registrados en nombre del gobierno del municipio en donde se ubicaba la toma, o en nombre de alguna empresa o cacique. 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Los pocos pueblos o sistemas comunitarios que se enteraron tuvieron que adoptar la figura legal de la Asociación Civil, ajena a sus usos y costumbres, para poder registrar su derecho a sus fuentes en la forma de una concesión, la cual, como fue el caso en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Tlanixco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, Estado de México, no siempre fue respetado.  En Valles Centrales de Oaxaca; Tehuantepec, Puebla; El Mayor en Baja California y Mixquic en Valle de México,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aplicó arbitrariamente la veda para no permitir que los pueblos indígenas tuvieran acceso legal a sus fuentes de agua.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En 2003, cuando finalmente se publicaron dictámenes de disponibilidad, 102 acuíferos y más de 100 cuencas estaban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sobreconcesionados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.  Para el año 2015, se había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sobreconcesionado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5.6 trillones de litros anuales de aguas subterráneas y 17 trillones de litros anuales de aguas superficiales.  Seis de cada diez mexicanos dependían por su agua de acuíferos sobreexplotados.  Y, gracias al libre mercado de concesiones, 70% del volumen concesionado estaba en manos de 7% de los concesionarios.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C342F6" w:rsidP="00956C78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</w:pPr>
      <w:r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  <w:t xml:space="preserve">Los </w:t>
      </w:r>
      <w:r w:rsidR="007A7952"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  <w:t>Decretos de Reservas</w:t>
      </w:r>
    </w:p>
    <w:p w:rsidR="000205E3" w:rsidRDefault="000205E3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Frente al acelerado otorgamiento de concesiones que ya había rebasado las disponibilidades en 104 acuíferos y 106 cuencas, la organización ambientalista WWF, con apoyo de la FGRA, se dedicó a buscar lograr decretos de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reservas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como un instrumento más fino, que se esperaba sería más respetada y efectiva que la veda.</w:t>
      </w:r>
      <w:r w:rsidR="00DA2325">
        <w:rPr>
          <w:rStyle w:val="Refdenotaalpie"/>
          <w:rFonts w:ascii="Calibri" w:eastAsia="Times New Roman" w:hAnsi="Calibri" w:cs="Times New Roman"/>
          <w:color w:val="222222"/>
          <w:lang w:eastAsia="es-MX"/>
        </w:rPr>
        <w:footnoteReference w:id="3"/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Se dedicó primero a apoyar a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en el diseño de una NMX que ofrecía tres distintas metodologías para determinar el caudal ecológico. De ahí, la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y el WWF realizaron un ejercicio para seleccionar cuencas con alto valor ecológico y poca presión hídrica, para servir como base para una serie de decretos de reservas. El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primero, decretado en 2014, que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estableció una reserva de 1,960 millones m3/año para la generación de energía eléctrica, y 355 millones m3/año para Marismas Nacionales, fue rechazado por parte de los pueblos indígenas y organiza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>ciones ambientales de la zona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.  Cuando Enrique Peña Nieto decidió firmar 10 Decretos el 5 junio 2018 levantando vedas y estableciendo reservas para usos ambiental y público urbano, menos de un mes antes de las elecciones, la reacción pública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>generó un debate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nacional.</w:t>
      </w:r>
      <w:r w:rsidRPr="00956C78">
        <w:rPr>
          <w:rFonts w:ascii="Arial" w:hAnsi="Arial" w:cs="Arial"/>
          <w:color w:val="222222"/>
          <w:shd w:val="clear" w:color="auto" w:fill="FFFFFF"/>
        </w:rPr>
        <w:t> 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0205E3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</w:pPr>
      <w:r w:rsidRPr="00956C78"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  <w:lastRenderedPageBreak/>
        <w:t>Debilidades de los Decretos de Reserva como estrategia para proteger el caudal ecológico:</w:t>
      </w:r>
    </w:p>
    <w:p w:rsidR="00956C78" w:rsidRPr="00956C78" w:rsidRDefault="00956C78" w:rsidP="000205E3">
      <w:pPr>
        <w:keepNext/>
        <w:keepLines/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C342F6" w:rsidP="000205E3">
      <w:pPr>
        <w:keepNext/>
        <w:keepLines/>
        <w:numPr>
          <w:ilvl w:val="0"/>
          <w:numId w:val="2"/>
        </w:numPr>
        <w:spacing w:before="240" w:after="0" w:line="36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Las Reservas f</w:t>
      </w:r>
      <w:r w:rsidR="00956C78" w:rsidRPr="00956C78">
        <w:rPr>
          <w:rFonts w:ascii="Calibri" w:eastAsia="Times New Roman" w:hAnsi="Calibri" w:cs="Times New Roman"/>
          <w:color w:val="222222"/>
          <w:lang w:eastAsia="es-MX"/>
        </w:rPr>
        <w:t xml:space="preserve">ueron </w:t>
      </w:r>
      <w:r w:rsidR="00956C78" w:rsidRPr="00956C78">
        <w:rPr>
          <w:rFonts w:ascii="Calibri" w:eastAsia="Times New Roman" w:hAnsi="Calibri" w:cs="Times New Roman"/>
          <w:b/>
          <w:color w:val="222222"/>
          <w:lang w:eastAsia="es-MX"/>
        </w:rPr>
        <w:t>decretados</w:t>
      </w:r>
      <w:r w:rsidR="00956C78"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="00956C78" w:rsidRPr="00956C78">
        <w:rPr>
          <w:rFonts w:ascii="Calibri" w:eastAsia="Times New Roman" w:hAnsi="Calibri" w:cs="Times New Roman"/>
          <w:b/>
          <w:color w:val="222222"/>
          <w:lang w:eastAsia="es-MX"/>
        </w:rPr>
        <w:t>sin participación</w:t>
      </w:r>
      <w:r w:rsidR="00956C78"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="00956C78" w:rsidRPr="00956C78">
        <w:rPr>
          <w:rFonts w:ascii="Calibri" w:eastAsia="Times New Roman" w:hAnsi="Calibri" w:cs="Times New Roman"/>
          <w:b/>
          <w:color w:val="222222"/>
          <w:lang w:eastAsia="es-MX"/>
        </w:rPr>
        <w:t>ni consulta</w:t>
      </w:r>
      <w:r w:rsidR="00956C78" w:rsidRPr="00956C78">
        <w:rPr>
          <w:rFonts w:ascii="Calibri" w:eastAsia="Times New Roman" w:hAnsi="Calibri" w:cs="Times New Roman"/>
          <w:color w:val="222222"/>
          <w:lang w:eastAsia="es-MX"/>
        </w:rPr>
        <w:t xml:space="preserve"> y por lo tanto, generaron desconfianza y rechazo.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Levantaron vedas en zonas en donde empresas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mineras, energéticas y petroleras (licitaciones para la fracturación hidráulica)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están amenazando a las comunidades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sus tierras y aguas.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No solo fueron reservas de agua para “uso ecológico” sino incluyeron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enormes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reservas para la CFE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para la generación de energía eléctrica (San Pedro Mezquital)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y para los gobiernos estatales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para uso público urbano, lo cual incluye cualquier uso suministrado por un sistema de agua potable (como es el caso con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Constellation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proofErr w:type="spellStart"/>
      <w:r w:rsidRPr="00956C78">
        <w:rPr>
          <w:rFonts w:ascii="Calibri" w:eastAsia="Times New Roman" w:hAnsi="Calibri" w:cs="Times New Roman"/>
          <w:color w:val="222222"/>
          <w:lang w:eastAsia="es-MX"/>
        </w:rPr>
        <w:t>Brands</w:t>
      </w:r>
      <w:proofErr w:type="spell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en BC). Las reservas para uso público urbano fueron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calculados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con base en proyecciones elevadas de la demanda a 50 años, disponibles de inmediato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así permitiendo a las comisiones estatales comprometer fuertes volúmenes para usos industriales a largo plazo.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Extinguieron las concesiones “caducas” de ejidos, comunidades, sistemas comunitarios de agua potable y pequeños productores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 rurales, a pesar de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un decreto presidencial que les había dado hasta el 31 diciembre para renovarse. 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Los volúmenes liberados serán concesionados en orden de solicitud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en violación al principio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 de “acceso equitativo”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establecido en la reforma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constitucional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>del 2012 q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ue exige que el agua debe asignarse primero a quien menos tiene (“acceso equitativo”).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Las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reservas ecológicas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son expresadas en millones de metros cúbicos al año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, medida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inadecuada para proteger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el caudal ecológico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,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>que 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un régimen de flujo. 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Existe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incredulidad de que “ahora sí” la </w:t>
      </w:r>
      <w:proofErr w:type="spellStart"/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Conagua</w:t>
      </w:r>
      <w:proofErr w:type="spellEnd"/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 va a respetar las reservas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cuando ha otorgado decenas de miles de concesiones en zonas de veda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 desde 1993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. 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Las vedas solo han sido aplicadas para negar acceso al agua a pueblos originarios, sistemas comunitarios y pequeños productores rurales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(casos documentados en El Mayor BC; Valles Centrales, Oaxaca; Tehuantepec, Puebla; Mixquic DF; Chalco, Estado de México). La sustitución de reservas por vedas sigue permitiendo violar el 2º Artículo Constitucional y el Convenio 169 de la OIT que exigen respetar el derecho de los pueblos indígenas al uso, administración y conservación de las aguas en sus territorios. 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Las vedas han ofrecido </w:t>
      </w:r>
      <w:r w:rsidR="00C342F6">
        <w:rPr>
          <w:rFonts w:ascii="Calibri" w:eastAsia="Times New Roman" w:hAnsi="Calibri" w:cs="Times New Roman"/>
          <w:b/>
          <w:color w:val="222222"/>
          <w:lang w:eastAsia="es-MX"/>
        </w:rPr>
        <w:t xml:space="preserve">hasta ahora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una cierta protección frente a trasnacionales mineras y energéticas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cuyos inversionistas exigen concesiones en firme, sin la sombra de una veda.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Esta propuesta de reservas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no ofrece instrumentos aplicables a cuencas y acuíferos sobreexplotados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en donde se tendrá que reducir volúmenes concesionados.</w:t>
      </w:r>
    </w:p>
    <w:p w:rsidR="00956C78" w:rsidRPr="00956C78" w:rsidRDefault="00956C78" w:rsidP="00956C78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Los decretos establecen instrumentos rígidos a largo plazo bajo un marco legal que tenía que haber sido reemplazado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en febrero 2013,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con uno nuevo que vincul</w:t>
      </w:r>
      <w:r w:rsidR="00C342F6">
        <w:rPr>
          <w:rFonts w:ascii="Calibri" w:eastAsia="Times New Roman" w:hAnsi="Calibri" w:cs="Times New Roman"/>
          <w:b/>
          <w:color w:val="222222"/>
          <w:lang w:eastAsia="es-MX"/>
        </w:rPr>
        <w:t>e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 la </w:t>
      </w:r>
      <w:r w:rsidRPr="00956C78">
        <w:rPr>
          <w:rFonts w:ascii="Calibri" w:eastAsia="Times New Roman" w:hAnsi="Calibri" w:cs="Times New Roman"/>
          <w:b/>
          <w:color w:val="222222"/>
          <w:u w:val="single"/>
          <w:lang w:eastAsia="es-MX"/>
        </w:rPr>
        <w:t>sustentabilidad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 con el </w:t>
      </w:r>
      <w:r w:rsidRPr="00956C78">
        <w:rPr>
          <w:rFonts w:ascii="Calibri" w:eastAsia="Times New Roman" w:hAnsi="Calibri" w:cs="Times New Roman"/>
          <w:b/>
          <w:color w:val="222222"/>
          <w:u w:val="single"/>
          <w:lang w:eastAsia="es-MX"/>
        </w:rPr>
        <w:t>acceso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u w:val="single"/>
          <w:lang w:eastAsia="es-MX"/>
        </w:rPr>
        <w:t>equitativo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 y la </w:t>
      </w:r>
      <w:r w:rsidRPr="00956C78">
        <w:rPr>
          <w:rFonts w:ascii="Calibri" w:eastAsia="Times New Roman" w:hAnsi="Calibri" w:cs="Times New Roman"/>
          <w:b/>
          <w:color w:val="222222"/>
          <w:u w:val="single"/>
          <w:lang w:eastAsia="es-MX"/>
        </w:rPr>
        <w:t>participación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. 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0205E3" w:rsidRDefault="000205E3">
      <w:pPr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</w:pPr>
      <w:r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  <w:br w:type="page"/>
      </w:r>
    </w:p>
    <w:p w:rsidR="00956C78" w:rsidRPr="00956C78" w:rsidRDefault="00956C78" w:rsidP="00956C78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</w:pPr>
      <w:r w:rsidRPr="00956C78">
        <w:rPr>
          <w:rFonts w:asciiTheme="majorHAnsi" w:eastAsia="Times New Roman" w:hAnsiTheme="majorHAnsi" w:cstheme="majorBidi"/>
          <w:b/>
          <w:color w:val="000000" w:themeColor="text1"/>
          <w:sz w:val="24"/>
          <w:szCs w:val="24"/>
          <w:lang w:eastAsia="es-MX"/>
        </w:rPr>
        <w:lastRenderedPageBreak/>
        <w:t xml:space="preserve">Cómo funcionaría el sistema de derechos, asignaciones y concesiones con la ICLGA 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Según la reforma al Artículo 4 de 2012, 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el Congreso de la Unión tiene la obligación de reemplazar la actual Ley de Aguas Nacionales con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la Ley General de Aguas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 xml:space="preserve">, la cual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sentar</w:t>
      </w:r>
      <w:r w:rsidR="00C342F6">
        <w:rPr>
          <w:rFonts w:ascii="Calibri" w:eastAsia="Times New Roman" w:hAnsi="Calibri" w:cs="Times New Roman"/>
          <w:color w:val="222222"/>
          <w:lang w:eastAsia="es-MX"/>
        </w:rPr>
        <w:t>á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las bases para que la ciudadanía junto con los tres niveles de gobierno </w:t>
      </w:r>
      <w:proofErr w:type="gramStart"/>
      <w:r w:rsidRPr="00956C78">
        <w:rPr>
          <w:rFonts w:ascii="Calibri" w:eastAsia="Times New Roman" w:hAnsi="Calibri" w:cs="Times New Roman"/>
          <w:color w:val="222222"/>
          <w:lang w:eastAsia="es-MX"/>
        </w:rPr>
        <w:t>logren</w:t>
      </w:r>
      <w:proofErr w:type="gramEnd"/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el acceso </w:t>
      </w:r>
      <w:r w:rsidRPr="00956C78">
        <w:rPr>
          <w:rFonts w:ascii="Calibri" w:eastAsia="Times New Roman" w:hAnsi="Calibri" w:cs="Times New Roman"/>
          <w:color w:val="222222"/>
          <w:u w:val="single"/>
          <w:lang w:eastAsia="es-MX"/>
        </w:rPr>
        <w:t>equitativo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y </w:t>
      </w:r>
      <w:r w:rsidRPr="00956C78">
        <w:rPr>
          <w:rFonts w:ascii="Calibri" w:eastAsia="Times New Roman" w:hAnsi="Calibri" w:cs="Times New Roman"/>
          <w:color w:val="222222"/>
          <w:u w:val="single"/>
          <w:lang w:eastAsia="es-MX"/>
        </w:rPr>
        <w:t>sustentable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al agua.  La LGA también tendrá que incorporar la reforma  al artículo 2 de 2001, que reconoce los derechos de los pueblos indígenas a las aguas en los territorios que habitan u ocupen; y al artículo 1, de 2011, que reconoce la primacía de los derechos humanos, dando rango constitucional a los instrumentos firmados por México, como es el Pacto Internacional de Derechos Económicos, Sociales y Culturales, y el Convenio 169 de la Organización Internacional del Trabajo.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36164B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En cumplimiento con las reformas constitucionales, l</w:t>
      </w:r>
      <w:r w:rsidR="00956C78" w:rsidRPr="00956C78">
        <w:rPr>
          <w:rFonts w:ascii="Calibri" w:eastAsia="Times New Roman" w:hAnsi="Calibri" w:cs="Times New Roman"/>
          <w:color w:val="222222"/>
          <w:lang w:eastAsia="es-MX"/>
        </w:rPr>
        <w:t>a Iniciativa Ciudadana propone instancias, criterios e instrumentos para poder corregir la sobreexplotación, el acceso inequitativo, la discriminación y la falta de reconocimiento de derechos que ha resultado del sistema de concesiones de la Ley de Aguas Nacionales.  Lo propone hacer de la siguiente manera:</w:t>
      </w:r>
    </w:p>
    <w:p w:rsidR="00956C78" w:rsidRPr="00956C78" w:rsidRDefault="00956C78" w:rsidP="00956C78">
      <w:pPr>
        <w:spacing w:after="0" w:line="240" w:lineRule="auto"/>
        <w:rPr>
          <w:rFonts w:ascii="Calibri" w:eastAsia="Times New Roman" w:hAnsi="Calibri" w:cs="Times New Roman"/>
          <w:color w:val="222222"/>
          <w:lang w:eastAsia="es-MX"/>
        </w:rPr>
      </w:pP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Los Consejos Regionales de Aguas y Cuencas</w:t>
      </w:r>
      <w:r w:rsidR="009139B1">
        <w:rPr>
          <w:rFonts w:ascii="Calibri" w:eastAsia="Times New Roman" w:hAnsi="Calibri" w:cs="Times New Roman"/>
          <w:b/>
          <w:color w:val="222222"/>
          <w:lang w:eastAsia="es-MX"/>
        </w:rPr>
        <w:t xml:space="preserve"> </w:t>
      </w:r>
      <w:r w:rsidR="009139B1" w:rsidRPr="009139B1">
        <w:rPr>
          <w:rFonts w:ascii="Calibri" w:eastAsia="Times New Roman" w:hAnsi="Calibri" w:cs="Times New Roman"/>
          <w:color w:val="222222"/>
          <w:lang w:eastAsia="es-MX"/>
        </w:rPr>
        <w:t xml:space="preserve">que reemplazarían los </w:t>
      </w:r>
      <w:r w:rsidR="009139B1">
        <w:rPr>
          <w:rFonts w:ascii="Calibri" w:eastAsia="Times New Roman" w:hAnsi="Calibri" w:cs="Times New Roman"/>
          <w:color w:val="222222"/>
          <w:lang w:eastAsia="es-MX"/>
        </w:rPr>
        <w:t xml:space="preserve">actuales </w:t>
      </w:r>
      <w:r w:rsidR="009139B1" w:rsidRPr="009139B1">
        <w:rPr>
          <w:rFonts w:ascii="Calibri" w:eastAsia="Times New Roman" w:hAnsi="Calibri" w:cs="Times New Roman"/>
          <w:color w:val="222222"/>
          <w:lang w:eastAsia="es-MX"/>
        </w:rPr>
        <w:t>Organismos de Cuenca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tendrán la autoridad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para reconocer derechos, y ajustar asignaciones o concesiones. 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Se </w:t>
      </w:r>
      <w:r w:rsidR="0036164B">
        <w:rPr>
          <w:rFonts w:ascii="Calibri" w:eastAsia="Times New Roman" w:hAnsi="Calibri" w:cs="Times New Roman"/>
          <w:color w:val="222222"/>
          <w:lang w:eastAsia="es-MX"/>
        </w:rPr>
        <w:t xml:space="preserve">crearán mecanismos y procedimientos 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para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reconocer los derechos de los pueblos indígenas a las aguas en sus territorios.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>Se r</w:t>
      </w:r>
      <w:r w:rsidR="0036164B">
        <w:rPr>
          <w:rFonts w:ascii="Calibri" w:eastAsia="Times New Roman" w:hAnsi="Calibri" w:cs="Times New Roman"/>
          <w:color w:val="222222"/>
          <w:lang w:eastAsia="es-MX"/>
        </w:rPr>
        <w:t>econocerán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los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derechos de los núcleos agrarios y </w:t>
      </w:r>
      <w:r w:rsidR="0036164B">
        <w:rPr>
          <w:rFonts w:ascii="Calibri" w:eastAsia="Times New Roman" w:hAnsi="Calibri" w:cs="Times New Roman"/>
          <w:b/>
          <w:color w:val="222222"/>
          <w:lang w:eastAsia="es-MX"/>
        </w:rPr>
        <w:t xml:space="preserve">de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los pequeños productores para la soberanía alimentaria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sin necesidad de concesión</w:t>
      </w:r>
      <w:r w:rsidR="0036164B">
        <w:rPr>
          <w:rFonts w:ascii="Calibri" w:eastAsia="Times New Roman" w:hAnsi="Calibri" w:cs="Times New Roman"/>
          <w:color w:val="222222"/>
          <w:lang w:eastAsia="es-MX"/>
        </w:rPr>
        <w:t>.</w:t>
      </w:r>
      <w:r w:rsidR="0036164B">
        <w:rPr>
          <w:rStyle w:val="Refdenotaalpie"/>
          <w:rFonts w:ascii="Calibri" w:eastAsia="Times New Roman" w:hAnsi="Calibri" w:cs="Times New Roman"/>
          <w:color w:val="222222"/>
          <w:lang w:eastAsia="es-MX"/>
        </w:rPr>
        <w:footnoteReference w:id="4"/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Los volúmenes asignados a los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sistemas metropolitanos, municipales y comunitarios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del agua serán ajustados hasta llegar al volumen requerido para el acceso equitativo para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 xml:space="preserve">uso personal doméstico y servicios públicos básicos.  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Los demás usos serán manejados a través de concesiones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a corto plazo, no transferibles, renovables según la disponibilidad del agua así como el cumplimiento con la normatividad y los condicionantes de la concesión.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Los Consejos de cada región y cada cuenca definirán un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Patrón de Aprovechamiento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, siendo un instrumento flexible que buscará determinar los volúmenes de agua por temporalidad y por fuente (aguas subterráneas, superficiales, tratadas y pluviales) que se podrá aprovechar, así como las condiciones que se tendrán que cumplir para su regreso a la cuenca, con el fin de restaurar y respetar el caudal ecológico así como (la tasa de retorno de las aguas subterráneas).  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Las asignaciones y las concesiones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podrán basarse en el aprovechamiento tanto de aguas superficiales como de subterráneas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>, dependiendo de las condiciones meteorológicas y del patrón de aprovechamiento requerido para respetar los regímenes de flujos de la cuenca.</w:t>
      </w:r>
    </w:p>
    <w:p w:rsidR="00956C78" w:rsidRPr="00956C78" w:rsidRDefault="00956C78" w:rsidP="00956C78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color w:val="222222"/>
          <w:lang w:eastAsia="es-MX"/>
        </w:rPr>
      </w:pP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El Patrón de Aprovechamiento se irá ajustando, con la </w:t>
      </w:r>
      <w:r w:rsidRPr="00956C78">
        <w:rPr>
          <w:rFonts w:ascii="Calibri" w:eastAsia="Times New Roman" w:hAnsi="Calibri" w:cs="Times New Roman"/>
          <w:b/>
          <w:color w:val="222222"/>
          <w:lang w:eastAsia="es-MX"/>
        </w:rPr>
        <w:t>obligación de reducir año con año los volúmenes concesionados, empezando con las concesiones de mayor volumen,</w:t>
      </w:r>
      <w:r w:rsidRPr="00956C78">
        <w:rPr>
          <w:rFonts w:ascii="Calibri" w:eastAsia="Times New Roman" w:hAnsi="Calibri" w:cs="Times New Roman"/>
          <w:color w:val="222222"/>
          <w:lang w:eastAsia="es-MX"/>
        </w:rPr>
        <w:t xml:space="preserve"> hasta que se logre reestablecer el caudal ecológico y la tasa de retorno de las aguas subterráneas, según los indicadores determinados por el Plan Rector de la Cuenca.</w:t>
      </w:r>
    </w:p>
    <w:p w:rsidR="002349D9" w:rsidRDefault="00C13A85">
      <w:r>
        <w:lastRenderedPageBreak/>
        <w:t xml:space="preserve">En este momento en el país, ni las leyes, ni la </w:t>
      </w:r>
      <w:proofErr w:type="spellStart"/>
      <w:r>
        <w:t>Semarnat</w:t>
      </w:r>
      <w:proofErr w:type="spellEnd"/>
      <w:r>
        <w:t xml:space="preserve">, ni las </w:t>
      </w:r>
      <w:proofErr w:type="spellStart"/>
      <w:r>
        <w:t>MIAs</w:t>
      </w:r>
      <w:proofErr w:type="spellEnd"/>
      <w:r>
        <w:t xml:space="preserve">, ni la </w:t>
      </w:r>
      <w:proofErr w:type="spellStart"/>
      <w:r>
        <w:t>Profepa</w:t>
      </w:r>
      <w:proofErr w:type="spellEnd"/>
      <w:r>
        <w:t xml:space="preserve">, ni los tribunales, ni las universidades, ni las organizaciones ambientales estamos logrando defender a las cuencas de los daños irreversibles causados por la minería tóxica y el </w:t>
      </w:r>
      <w:proofErr w:type="spellStart"/>
      <w:r>
        <w:t>fracking</w:t>
      </w:r>
      <w:proofErr w:type="spellEnd"/>
      <w:r>
        <w:t>.  Son principalmente las comunidades rurales e indígenas quienes, asumiendo enormes riesgos, con todo en su contra, están buscando escudar al país de esta ola destructiva.</w:t>
      </w:r>
    </w:p>
    <w:p w:rsidR="00C13A85" w:rsidRDefault="00C13A85" w:rsidP="00C13A85">
      <w:r>
        <w:t>La reforma constitucional exigiendo un nuevo marco legal e institucional, junto con la clara expresión de voluntad popular el 1 julio, nos presenta una oportunidad de tomar pasos firmes y efectivos para la restauración de las cuencas y sus caudales ecológicos</w:t>
      </w:r>
      <w:r w:rsidR="00E933B6">
        <w:t>,</w:t>
      </w:r>
      <w:r w:rsidR="00BF34BF">
        <w:t xml:space="preserve"> no solo en las zonas con menos estrés hídrico, sino en todo el país.  </w:t>
      </w:r>
    </w:p>
    <w:p w:rsidR="003A382C" w:rsidRDefault="00BF34BF">
      <w:r>
        <w:t>Esto requerir</w:t>
      </w:r>
      <w:r w:rsidR="00E933B6">
        <w:t xml:space="preserve">á contar con instancias </w:t>
      </w:r>
      <w:r>
        <w:t>de participación ciudadana</w:t>
      </w:r>
      <w:r w:rsidR="00C13A85">
        <w:t>,</w:t>
      </w:r>
      <w:r>
        <w:t xml:space="preserve"> gubernamental</w:t>
      </w:r>
      <w:r w:rsidR="00C13A85">
        <w:t xml:space="preserve"> y de pueblos</w:t>
      </w:r>
      <w:r>
        <w:t xml:space="preserve">, </w:t>
      </w:r>
      <w:r w:rsidR="00C13A85">
        <w:t>que tengan la solidez necesaria</w:t>
      </w:r>
      <w:r w:rsidR="00E933B6">
        <w:t xml:space="preserve"> para revertir</w:t>
      </w:r>
      <w:r>
        <w:t xml:space="preserve"> las actuales dinámicas de </w:t>
      </w:r>
      <w:proofErr w:type="spellStart"/>
      <w:r>
        <w:t>sobreconcesionamiento</w:t>
      </w:r>
      <w:proofErr w:type="spellEnd"/>
      <w:r>
        <w:t xml:space="preserve">, acaparamiento (7% de los concesionarios controlan 70% de las aguas concesionadas), contaminación </w:t>
      </w:r>
      <w:r w:rsidR="00E933B6">
        <w:t xml:space="preserve">(40% de los cuerpos de agua del país) </w:t>
      </w:r>
      <w:r>
        <w:t>y destrucción de las cuencas.</w:t>
      </w:r>
      <w:r w:rsidR="00E933B6">
        <w:t xml:space="preserve">  </w:t>
      </w:r>
      <w:r>
        <w:t xml:space="preserve">  </w:t>
      </w:r>
      <w:r w:rsidR="00C04677">
        <w:t xml:space="preserve">La </w:t>
      </w:r>
      <w:r w:rsidR="00C04677" w:rsidRPr="00C04677">
        <w:t>NMX-AA-159-SCFI-2012</w:t>
      </w:r>
      <w:r w:rsidR="00E933B6">
        <w:t>, al ofrecer</w:t>
      </w:r>
      <w:r w:rsidR="00C04677">
        <w:t xml:space="preserve"> metodologías </w:t>
      </w:r>
      <w:r w:rsidR="000205E3">
        <w:t>para</w:t>
      </w:r>
      <w:r w:rsidR="00E933B6">
        <w:t xml:space="preserve"> calcular el caudal ecológico, será una herramienta básica en manos de estos Consejos.  </w:t>
      </w:r>
    </w:p>
    <w:p w:rsidR="00C04677" w:rsidRDefault="003A382C">
      <w:r>
        <w:t>La conservación y restauración de las cuencas que todos queremos s</w:t>
      </w:r>
      <w:r w:rsidR="000205E3">
        <w:t xml:space="preserve">olo será posible si </w:t>
      </w:r>
      <w:r>
        <w:t xml:space="preserve">construyamos conjuntamente la voluntad política necesaria para </w:t>
      </w:r>
      <w:r w:rsidR="000205E3">
        <w:t>pon</w:t>
      </w:r>
      <w:r w:rsidR="000205E3">
        <w:t>er</w:t>
      </w:r>
      <w:r w:rsidR="000205E3">
        <w:t xml:space="preserve"> límites </w:t>
      </w:r>
      <w:r>
        <w:t>a los que destruyen comunidades y el ambiente por su propio beneficio, y nos dedicamos a las tareas del bien común.</w:t>
      </w:r>
    </w:p>
    <w:sectPr w:rsidR="00C0467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3A" w:rsidRDefault="00DD763A" w:rsidP="00956C78">
      <w:pPr>
        <w:spacing w:after="0" w:line="240" w:lineRule="auto"/>
      </w:pPr>
      <w:r>
        <w:separator/>
      </w:r>
    </w:p>
  </w:endnote>
  <w:endnote w:type="continuationSeparator" w:id="0">
    <w:p w:rsidR="00DD763A" w:rsidRDefault="00DD763A" w:rsidP="0095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26" w:rsidRDefault="00CD5526" w:rsidP="00CD552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3A" w:rsidRDefault="00DD763A" w:rsidP="00956C78">
      <w:pPr>
        <w:spacing w:after="0" w:line="240" w:lineRule="auto"/>
      </w:pPr>
      <w:r>
        <w:separator/>
      </w:r>
    </w:p>
  </w:footnote>
  <w:footnote w:type="continuationSeparator" w:id="0">
    <w:p w:rsidR="00DD763A" w:rsidRDefault="00DD763A" w:rsidP="00956C78">
      <w:pPr>
        <w:spacing w:after="0" w:line="240" w:lineRule="auto"/>
      </w:pPr>
      <w:r>
        <w:continuationSeparator/>
      </w:r>
    </w:p>
  </w:footnote>
  <w:footnote w:id="1">
    <w:p w:rsidR="00956C78" w:rsidRPr="007C3597" w:rsidRDefault="00956C78" w:rsidP="00956C78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7C3597">
        <w:rPr>
          <w:sz w:val="18"/>
        </w:rPr>
        <w:t xml:space="preserve">“Asignación” es el </w:t>
      </w:r>
      <w:r w:rsidRPr="007C3597">
        <w:rPr>
          <w:rFonts w:ascii="Calibri" w:eastAsia="Times New Roman" w:hAnsi="Calibri" w:cs="Times New Roman"/>
          <w:color w:val="222222"/>
          <w:sz w:val="18"/>
          <w:lang w:eastAsia="es-MX"/>
        </w:rPr>
        <w:t>término utilizado cuando el titular es una entidad pública.</w:t>
      </w:r>
    </w:p>
  </w:footnote>
  <w:footnote w:id="2">
    <w:p w:rsidR="00956C78" w:rsidRPr="00DA7F5E" w:rsidRDefault="00956C78" w:rsidP="00956C78">
      <w:pPr>
        <w:pStyle w:val="Textonotapie"/>
        <w:rPr>
          <w:color w:val="000000" w:themeColor="text1"/>
        </w:rPr>
      </w:pPr>
      <w:r>
        <w:rPr>
          <w:rStyle w:val="Refdenotaalpie"/>
        </w:rPr>
        <w:footnoteRef/>
      </w:r>
      <w:r>
        <w:t xml:space="preserve"> </w:t>
      </w:r>
      <w:r w:rsidRPr="00DA7F5E">
        <w:rPr>
          <w:color w:val="000000" w:themeColor="text1"/>
          <w:sz w:val="18"/>
          <w:szCs w:val="18"/>
        </w:rPr>
        <w:t xml:space="preserve">Garduño, Héctor. Administración de derechos de agua.  FAO Estudio Legislativo 81. Roma, 2003.  </w:t>
      </w:r>
      <w:hyperlink r:id="rId1" w:history="1">
        <w:r w:rsidRPr="00DA7F5E">
          <w:rPr>
            <w:rStyle w:val="Hipervnculo"/>
            <w:color w:val="000000" w:themeColor="text1"/>
            <w:sz w:val="18"/>
            <w:szCs w:val="18"/>
          </w:rPr>
          <w:t>http://www.fao.org/docrep/006/Y5062S/y5062s08.htm</w:t>
        </w:r>
      </w:hyperlink>
      <w:r w:rsidRPr="00DA7F5E">
        <w:rPr>
          <w:color w:val="000000" w:themeColor="text1"/>
          <w:sz w:val="18"/>
          <w:szCs w:val="18"/>
        </w:rPr>
        <w:t>l</w:t>
      </w:r>
    </w:p>
  </w:footnote>
  <w:footnote w:id="3">
    <w:p w:rsidR="00DA2325" w:rsidRPr="00900551" w:rsidRDefault="00DA2325" w:rsidP="007C3597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1D3B35">
        <w:rPr>
          <w:sz w:val="16"/>
        </w:rPr>
        <w:t>En nombre de la transparencia, es importante notar que</w:t>
      </w:r>
      <w:r w:rsidR="009A499F" w:rsidRPr="001D3B35">
        <w:rPr>
          <w:sz w:val="16"/>
        </w:rPr>
        <w:t xml:space="preserve"> el Programa de las Reservas fue financiado </w:t>
      </w:r>
      <w:r w:rsidR="00900551">
        <w:rPr>
          <w:sz w:val="16"/>
        </w:rPr>
        <w:t>por</w:t>
      </w:r>
      <w:r w:rsidR="00566028">
        <w:rPr>
          <w:sz w:val="16"/>
        </w:rPr>
        <w:t xml:space="preserve"> la Alianza WWF-Fundación Carlos Slim y l</w:t>
      </w:r>
      <w:r w:rsidR="00566028">
        <w:rPr>
          <w:sz w:val="16"/>
        </w:rPr>
        <w:t xml:space="preserve">a Fundación Gonzalo Río </w:t>
      </w:r>
      <w:proofErr w:type="spellStart"/>
      <w:r w:rsidR="00566028">
        <w:rPr>
          <w:sz w:val="16"/>
        </w:rPr>
        <w:t>Arronte</w:t>
      </w:r>
      <w:proofErr w:type="spellEnd"/>
      <w:r w:rsidR="00900551">
        <w:rPr>
          <w:sz w:val="16"/>
        </w:rPr>
        <w:t xml:space="preserve"> (</w:t>
      </w:r>
      <w:r w:rsidR="00900551" w:rsidRPr="00900551">
        <w:rPr>
          <w:sz w:val="16"/>
        </w:rPr>
        <w:t>http://www.wwf.org.mx/?uNewsID=328430</w:t>
      </w:r>
      <w:r w:rsidR="00900551">
        <w:rPr>
          <w:sz w:val="16"/>
        </w:rPr>
        <w:t>)</w:t>
      </w:r>
      <w:r w:rsidR="00566028">
        <w:rPr>
          <w:sz w:val="16"/>
        </w:rPr>
        <w:t>,</w:t>
      </w:r>
      <w:r w:rsidR="00566028">
        <w:rPr>
          <w:sz w:val="16"/>
        </w:rPr>
        <w:t xml:space="preserve"> </w:t>
      </w:r>
      <w:r w:rsidR="00CD5460">
        <w:rPr>
          <w:sz w:val="16"/>
        </w:rPr>
        <w:t>entidades cuyos directivos están involucrados en actividades mineras</w:t>
      </w:r>
      <w:r w:rsidR="00900551">
        <w:rPr>
          <w:sz w:val="16"/>
        </w:rPr>
        <w:t xml:space="preserve"> en zonas con gran déficit hídrico</w:t>
      </w:r>
      <w:r w:rsidR="00CD5460">
        <w:rPr>
          <w:sz w:val="16"/>
        </w:rPr>
        <w:t xml:space="preserve"> y </w:t>
      </w:r>
      <w:r w:rsidR="00900551">
        <w:rPr>
          <w:sz w:val="16"/>
        </w:rPr>
        <w:t xml:space="preserve">actividades </w:t>
      </w:r>
      <w:r w:rsidR="00CD5460">
        <w:rPr>
          <w:sz w:val="16"/>
        </w:rPr>
        <w:t>petroleras</w:t>
      </w:r>
      <w:r w:rsidR="00900551">
        <w:rPr>
          <w:sz w:val="16"/>
        </w:rPr>
        <w:t xml:space="preserve"> en zonas afectadas por el levantamiento de las vedas</w:t>
      </w:r>
      <w:r w:rsidR="00566028">
        <w:rPr>
          <w:sz w:val="16"/>
        </w:rPr>
        <w:t xml:space="preserve">. </w:t>
      </w:r>
      <w:r w:rsidR="00CD5460">
        <w:rPr>
          <w:sz w:val="16"/>
        </w:rPr>
        <w:t xml:space="preserve">Carlos Slim es </w:t>
      </w:r>
      <w:r w:rsidR="00566028">
        <w:rPr>
          <w:sz w:val="16"/>
        </w:rPr>
        <w:t xml:space="preserve">dueño </w:t>
      </w:r>
      <w:r w:rsidR="00900551">
        <w:rPr>
          <w:sz w:val="16"/>
        </w:rPr>
        <w:t xml:space="preserve">de la empresa minera </w:t>
      </w:r>
      <w:proofErr w:type="spellStart"/>
      <w:r w:rsidR="00900551">
        <w:rPr>
          <w:sz w:val="16"/>
        </w:rPr>
        <w:t>Frisco</w:t>
      </w:r>
      <w:proofErr w:type="spellEnd"/>
      <w:r w:rsidR="00900551">
        <w:rPr>
          <w:sz w:val="16"/>
        </w:rPr>
        <w:t>, con</w:t>
      </w:r>
      <w:r w:rsidR="00566028">
        <w:rPr>
          <w:sz w:val="16"/>
        </w:rPr>
        <w:t xml:space="preserve"> tres</w:t>
      </w:r>
      <w:r w:rsidR="009A499F" w:rsidRPr="001D3B35">
        <w:rPr>
          <w:sz w:val="16"/>
        </w:rPr>
        <w:t xml:space="preserve"> de </w:t>
      </w:r>
      <w:r w:rsidR="001D3B35">
        <w:rPr>
          <w:sz w:val="16"/>
        </w:rPr>
        <w:t>las más grandes</w:t>
      </w:r>
      <w:r w:rsidR="009A499F" w:rsidRPr="001D3B35">
        <w:rPr>
          <w:sz w:val="16"/>
        </w:rPr>
        <w:t xml:space="preserve"> minas de oro en el país</w:t>
      </w:r>
      <w:r w:rsidR="00900551">
        <w:rPr>
          <w:sz w:val="16"/>
        </w:rPr>
        <w:t xml:space="preserve">. Producen 1.5 millones de onzas de oro al </w:t>
      </w:r>
      <w:r w:rsidR="009A499F" w:rsidRPr="001D3B35">
        <w:rPr>
          <w:sz w:val="16"/>
        </w:rPr>
        <w:t>año</w:t>
      </w:r>
      <w:r w:rsidR="001D3B35">
        <w:rPr>
          <w:sz w:val="16"/>
        </w:rPr>
        <w:t>,</w:t>
      </w:r>
      <w:r w:rsidR="009A499F" w:rsidRPr="001D3B35">
        <w:rPr>
          <w:sz w:val="16"/>
        </w:rPr>
        <w:t xml:space="preserve"> </w:t>
      </w:r>
      <w:r w:rsidR="00566028">
        <w:rPr>
          <w:sz w:val="16"/>
        </w:rPr>
        <w:t xml:space="preserve">requiriendo la utilización </w:t>
      </w:r>
      <w:r w:rsidR="00900551">
        <w:rPr>
          <w:sz w:val="16"/>
        </w:rPr>
        <w:t xml:space="preserve">anual </w:t>
      </w:r>
      <w:r w:rsidR="00566028">
        <w:rPr>
          <w:sz w:val="16"/>
        </w:rPr>
        <w:t>de</w:t>
      </w:r>
      <w:r w:rsidR="00BF34BF">
        <w:rPr>
          <w:sz w:val="16"/>
        </w:rPr>
        <w:t xml:space="preserve"> 4 millones de m3 agua y</w:t>
      </w:r>
      <w:r w:rsidR="00900551">
        <w:rPr>
          <w:sz w:val="16"/>
        </w:rPr>
        <w:t xml:space="preserve"> 8.4 millones kg de cianuro de sodio</w:t>
      </w:r>
      <w:r w:rsidR="00BF34BF">
        <w:rPr>
          <w:sz w:val="16"/>
        </w:rPr>
        <w:t xml:space="preserve">, así como la remoción de 40 millones de toneladas de roca al año </w:t>
      </w:r>
      <w:r w:rsidR="001D3B35" w:rsidRPr="001D3B35">
        <w:rPr>
          <w:sz w:val="16"/>
        </w:rPr>
        <w:t xml:space="preserve">en </w:t>
      </w:r>
      <w:r w:rsidR="00BF34BF">
        <w:rPr>
          <w:sz w:val="16"/>
        </w:rPr>
        <w:t xml:space="preserve">el </w:t>
      </w:r>
      <w:proofErr w:type="spellStart"/>
      <w:r w:rsidR="00BF34BF">
        <w:rPr>
          <w:sz w:val="16"/>
        </w:rPr>
        <w:t>semi</w:t>
      </w:r>
      <w:proofErr w:type="spellEnd"/>
      <w:r w:rsidR="00BF34BF">
        <w:rPr>
          <w:sz w:val="16"/>
        </w:rPr>
        <w:t xml:space="preserve">-desierto de </w:t>
      </w:r>
      <w:r w:rsidR="001D3B35" w:rsidRPr="001D3B35">
        <w:rPr>
          <w:sz w:val="16"/>
        </w:rPr>
        <w:t>Zacatecas, Baja California y Chihuahua</w:t>
      </w:r>
      <w:r w:rsidR="00900551">
        <w:rPr>
          <w:sz w:val="16"/>
        </w:rPr>
        <w:t xml:space="preserve"> (</w:t>
      </w:r>
      <w:proofErr w:type="spellStart"/>
      <w:r w:rsidR="00900551">
        <w:rPr>
          <w:sz w:val="16"/>
        </w:rPr>
        <w:t>Geocomunes</w:t>
      </w:r>
      <w:proofErr w:type="spellEnd"/>
      <w:r w:rsidR="00900551">
        <w:rPr>
          <w:sz w:val="16"/>
        </w:rPr>
        <w:t xml:space="preserve">  </w:t>
      </w:r>
      <w:hyperlink r:id="rId2" w:history="1">
        <w:r w:rsidR="00BB03E5" w:rsidRPr="00C57AA2">
          <w:rPr>
            <w:rStyle w:val="Hipervnculo"/>
            <w:sz w:val="16"/>
          </w:rPr>
          <w:t>htt</w:t>
        </w:r>
        <w:r w:rsidR="00BB03E5" w:rsidRPr="00BB03E5">
          <w:rPr>
            <w:rStyle w:val="Hipervnculo"/>
            <w:sz w:val="16"/>
            <w:u w:val="none"/>
          </w:rPr>
          <w:t>ps://www.proceso.com.mx/500030/pais-una-gigantesca-concesion-mapas).Este</w:t>
        </w:r>
      </w:hyperlink>
      <w:r w:rsidR="00BB03E5">
        <w:rPr>
          <w:sz w:val="16"/>
        </w:rPr>
        <w:t xml:space="preserve"> empresario buscó ampararse frente a un nuevo “Impuesto Ecológico” en Zacatecas, que implicaba pagar </w:t>
      </w:r>
      <w:r w:rsidR="00BB03E5" w:rsidRPr="00BB03E5">
        <w:rPr>
          <w:sz w:val="16"/>
        </w:rPr>
        <w:t>25 pesos</w:t>
      </w:r>
      <w:r w:rsidR="00BB03E5">
        <w:rPr>
          <w:sz w:val="16"/>
        </w:rPr>
        <w:t xml:space="preserve"> por cada 100 metros cuadrados </w:t>
      </w:r>
      <w:r w:rsidR="00BB03E5" w:rsidRPr="00BB03E5">
        <w:rPr>
          <w:sz w:val="16"/>
        </w:rPr>
        <w:t>afectados por sustancias contaminantes, y 100 pesos por tonelada de residuos almacenados en vertederos</w:t>
      </w:r>
      <w:r w:rsidR="00BB03E5">
        <w:rPr>
          <w:sz w:val="16"/>
        </w:rPr>
        <w:t xml:space="preserve">… </w:t>
      </w:r>
      <w:hyperlink r:id="rId3" w:history="1">
        <w:r w:rsidR="00244784" w:rsidRPr="00244784">
          <w:rPr>
            <w:rStyle w:val="Hipervnculo"/>
            <w:sz w:val="16"/>
            <w:u w:val="none"/>
          </w:rPr>
          <w:t>http://zocalo.com.mx/reforma/detail/litigan-impuestos-ecologicos-a-zacatecas</w:t>
        </w:r>
      </w:hyperlink>
      <w:r w:rsidR="00244784">
        <w:rPr>
          <w:sz w:val="16"/>
        </w:rPr>
        <w:t xml:space="preserve">.  </w:t>
      </w:r>
      <w:r w:rsidR="00BB03E5">
        <w:rPr>
          <w:sz w:val="16"/>
        </w:rPr>
        <w:t xml:space="preserve">  </w:t>
      </w:r>
      <w:r w:rsidR="001D3B35">
        <w:rPr>
          <w:sz w:val="16"/>
        </w:rPr>
        <w:t xml:space="preserve"> </w:t>
      </w:r>
      <w:r w:rsidR="00900551">
        <w:rPr>
          <w:sz w:val="16"/>
        </w:rPr>
        <w:t>El proyecto de Reservas t</w:t>
      </w:r>
      <w:r w:rsidR="001D3B35">
        <w:rPr>
          <w:sz w:val="16"/>
        </w:rPr>
        <w:t>ambién recibió financiamiento de</w:t>
      </w:r>
      <w:r w:rsidR="00CD5460">
        <w:rPr>
          <w:sz w:val="16"/>
        </w:rPr>
        <w:t xml:space="preserve"> la Fundación Gonzalo Río </w:t>
      </w:r>
      <w:proofErr w:type="spellStart"/>
      <w:r w:rsidR="00CD5460">
        <w:rPr>
          <w:sz w:val="16"/>
        </w:rPr>
        <w:t>Arronte</w:t>
      </w:r>
      <w:proofErr w:type="spellEnd"/>
      <w:r w:rsidR="00CD5460">
        <w:rPr>
          <w:sz w:val="16"/>
        </w:rPr>
        <w:t xml:space="preserve">, </w:t>
      </w:r>
      <w:r w:rsidR="00900551">
        <w:rPr>
          <w:sz w:val="16"/>
        </w:rPr>
        <w:t>cuyo Patronato y Comisión Ejecutiva son presididos por</w:t>
      </w:r>
      <w:r w:rsidR="00CD5460">
        <w:rPr>
          <w:sz w:val="16"/>
        </w:rPr>
        <w:t xml:space="preserve"> </w:t>
      </w:r>
      <w:r w:rsidR="00900551">
        <w:rPr>
          <w:sz w:val="16"/>
        </w:rPr>
        <w:t>Jesú</w:t>
      </w:r>
      <w:r w:rsidR="00CD5460" w:rsidRPr="00900551">
        <w:rPr>
          <w:sz w:val="16"/>
        </w:rPr>
        <w:t>s Reyes Heroles (</w:t>
      </w:r>
      <w:hyperlink r:id="rId4" w:history="1">
        <w:r w:rsidR="00CD5460" w:rsidRPr="00900551">
          <w:rPr>
            <w:sz w:val="16"/>
          </w:rPr>
          <w:t>http://www.fgra.org.mx/quienes-somos</w:t>
        </w:r>
      </w:hyperlink>
      <w:r w:rsidR="00CD5460" w:rsidRPr="00900551">
        <w:rPr>
          <w:sz w:val="16"/>
        </w:rPr>
        <w:t>)</w:t>
      </w:r>
      <w:r w:rsidR="00900551">
        <w:rPr>
          <w:sz w:val="16"/>
        </w:rPr>
        <w:t xml:space="preserve">.  </w:t>
      </w:r>
      <w:r w:rsidR="00CD5460" w:rsidRPr="00900551">
        <w:rPr>
          <w:sz w:val="16"/>
        </w:rPr>
        <w:t xml:space="preserve">Reyes Heroles es socio de la empresa Morgan Stanley </w:t>
      </w:r>
      <w:hyperlink r:id="rId5" w:history="1">
        <w:r w:rsidR="00CD5460" w:rsidRPr="00900551">
          <w:rPr>
            <w:sz w:val="16"/>
          </w:rPr>
          <w:t>https://www.morganstanley.co</w:t>
        </w:r>
        <w:bookmarkStart w:id="0" w:name="_GoBack"/>
        <w:bookmarkEnd w:id="0"/>
        <w:r w:rsidR="00CD5460" w:rsidRPr="00900551">
          <w:rPr>
            <w:sz w:val="16"/>
          </w:rPr>
          <w:t>m/press-releases/morgan-stanley-private-equity-and-jess-reyes-heroles-announce-partnership_dceea7cb-495a-40ab-904d-5b672faef863</w:t>
        </w:r>
      </w:hyperlink>
      <w:r w:rsidR="00900551">
        <w:rPr>
          <w:sz w:val="16"/>
        </w:rPr>
        <w:t>, empresa que ha anunciado su</w:t>
      </w:r>
      <w:r w:rsidR="00CD5460" w:rsidRPr="00900551">
        <w:rPr>
          <w:sz w:val="16"/>
        </w:rPr>
        <w:t xml:space="preserve"> intenci</w:t>
      </w:r>
      <w:r w:rsidR="00900551">
        <w:rPr>
          <w:sz w:val="16"/>
        </w:rPr>
        <w:t>ón</w:t>
      </w:r>
      <w:r w:rsidR="00CD5460" w:rsidRPr="00900551">
        <w:rPr>
          <w:sz w:val="16"/>
        </w:rPr>
        <w:t xml:space="preserve"> de invertir en la fracturación hidráulica en México (http://www.elfinanciero.com.mx/archivo/morgan-stanle</w:t>
      </w:r>
      <w:r w:rsidR="00900551">
        <w:rPr>
          <w:sz w:val="16"/>
        </w:rPr>
        <w:t>y-apunta-al-gas-shale)</w:t>
      </w:r>
      <w:r w:rsidR="00CD5460" w:rsidRPr="00900551">
        <w:rPr>
          <w:sz w:val="16"/>
        </w:rPr>
        <w:t xml:space="preserve">. </w:t>
      </w:r>
    </w:p>
  </w:footnote>
  <w:footnote w:id="4">
    <w:p w:rsidR="0036164B" w:rsidRPr="009139B1" w:rsidRDefault="0036164B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="00E933B6">
        <w:rPr>
          <w:sz w:val="18"/>
        </w:rPr>
        <w:t>Quisiéramos aclarar</w:t>
      </w:r>
      <w:r w:rsidRPr="009139B1">
        <w:rPr>
          <w:sz w:val="18"/>
        </w:rPr>
        <w:t xml:space="preserve"> que el 77% de aguas nacionales que es dedicado al uso agrícola no corresponden a los modesto</w:t>
      </w:r>
      <w:r w:rsidR="009139B1" w:rsidRPr="009139B1">
        <w:rPr>
          <w:sz w:val="18"/>
        </w:rPr>
        <w:t>s volúmenes (6000 m3/</w:t>
      </w:r>
      <w:proofErr w:type="spellStart"/>
      <w:r w:rsidR="009139B1" w:rsidRPr="009139B1">
        <w:rPr>
          <w:sz w:val="18"/>
        </w:rPr>
        <w:t>ha</w:t>
      </w:r>
      <w:proofErr w:type="spellEnd"/>
      <w:r w:rsidR="009139B1" w:rsidRPr="009139B1">
        <w:rPr>
          <w:sz w:val="18"/>
        </w:rPr>
        <w:t xml:space="preserve">) de los ejidos y comunidades, quienes forman parte del 73% de las unidades de producción que perciben menos de $17,000 al año.  Más bien, el agua para uso agrícola es controlada por </w:t>
      </w:r>
      <w:r w:rsidRPr="009139B1">
        <w:rPr>
          <w:sz w:val="18"/>
        </w:rPr>
        <w:t xml:space="preserve">los grandes distritos de riego principalmente en el norte del país, </w:t>
      </w:r>
      <w:r w:rsidR="009139B1" w:rsidRPr="009139B1">
        <w:rPr>
          <w:sz w:val="18"/>
        </w:rPr>
        <w:t>y corresponden a</w:t>
      </w:r>
      <w:r w:rsidRPr="009139B1">
        <w:rPr>
          <w:sz w:val="18"/>
        </w:rPr>
        <w:t xml:space="preserve">l 0.3% de las unidades productivas que ganan más de $11.7 millones al año </w:t>
      </w:r>
      <w:r w:rsidR="009139B1" w:rsidRPr="009139B1">
        <w:rPr>
          <w:sz w:val="18"/>
        </w:rPr>
        <w:t xml:space="preserve">principalmente </w:t>
      </w:r>
      <w:r w:rsidRPr="009139B1">
        <w:rPr>
          <w:sz w:val="18"/>
        </w:rPr>
        <w:t xml:space="preserve">en </w:t>
      </w:r>
      <w:r w:rsidR="009139B1" w:rsidRPr="009139B1">
        <w:rPr>
          <w:sz w:val="18"/>
        </w:rPr>
        <w:t xml:space="preserve">la </w:t>
      </w:r>
      <w:r w:rsidRPr="009139B1">
        <w:rPr>
          <w:sz w:val="18"/>
        </w:rPr>
        <w:t>producción para la exportación.</w:t>
      </w:r>
      <w:r w:rsidR="009139B1">
        <w:rPr>
          <w:sz w:val="18"/>
        </w:rPr>
        <w:t xml:space="preserve"> </w:t>
      </w:r>
      <w:r w:rsidR="009139B1">
        <w:rPr>
          <w:rFonts w:ascii="Calibri" w:hAnsi="Calibri" w:cs="Calibri"/>
          <w:sz w:val="16"/>
          <w:szCs w:val="16"/>
        </w:rPr>
        <w:t xml:space="preserve">Diagnóstico del sector rural y pesquero de México 2012, </w:t>
      </w:r>
      <w:proofErr w:type="spellStart"/>
      <w:r w:rsidR="009139B1">
        <w:rPr>
          <w:rFonts w:ascii="Calibri" w:hAnsi="Calibri" w:cs="Calibri"/>
          <w:sz w:val="16"/>
          <w:szCs w:val="16"/>
        </w:rPr>
        <w:t>Sagarpa</w:t>
      </w:r>
      <w:proofErr w:type="spellEnd"/>
      <w:r w:rsidR="009139B1">
        <w:rPr>
          <w:rFonts w:ascii="Calibri" w:hAnsi="Calibri" w:cs="Calibri"/>
          <w:sz w:val="16"/>
          <w:szCs w:val="16"/>
        </w:rPr>
        <w:t>-FAO. DF: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E23"/>
    <w:multiLevelType w:val="hybridMultilevel"/>
    <w:tmpl w:val="61F6756E"/>
    <w:lvl w:ilvl="0" w:tplc="2B28EB38">
      <w:start w:val="34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C27D7"/>
    <w:multiLevelType w:val="hybridMultilevel"/>
    <w:tmpl w:val="0F825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8"/>
    <w:rsid w:val="000205E3"/>
    <w:rsid w:val="001D3B35"/>
    <w:rsid w:val="002349D9"/>
    <w:rsid w:val="00244784"/>
    <w:rsid w:val="0036164B"/>
    <w:rsid w:val="0037238C"/>
    <w:rsid w:val="003A382C"/>
    <w:rsid w:val="00461C84"/>
    <w:rsid w:val="00527105"/>
    <w:rsid w:val="00566028"/>
    <w:rsid w:val="005802A3"/>
    <w:rsid w:val="005E746B"/>
    <w:rsid w:val="006949F9"/>
    <w:rsid w:val="007A7952"/>
    <w:rsid w:val="007C3597"/>
    <w:rsid w:val="00900551"/>
    <w:rsid w:val="009139B1"/>
    <w:rsid w:val="00956C78"/>
    <w:rsid w:val="009A499F"/>
    <w:rsid w:val="00A43B7B"/>
    <w:rsid w:val="00BB03E5"/>
    <w:rsid w:val="00BF0BD6"/>
    <w:rsid w:val="00BF34BF"/>
    <w:rsid w:val="00C04677"/>
    <w:rsid w:val="00C13A85"/>
    <w:rsid w:val="00C342F6"/>
    <w:rsid w:val="00CD5460"/>
    <w:rsid w:val="00CD5526"/>
    <w:rsid w:val="00DA2325"/>
    <w:rsid w:val="00DD763A"/>
    <w:rsid w:val="00E933B6"/>
    <w:rsid w:val="00FA77FB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4F94F-632F-4B9C-AF24-1D31727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56C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6C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6C78"/>
    <w:rPr>
      <w:vertAlign w:val="superscript"/>
    </w:rPr>
  </w:style>
  <w:style w:type="character" w:styleId="Hipervnculo">
    <w:name w:val="Hyperlink"/>
    <w:uiPriority w:val="99"/>
    <w:unhideWhenUsed/>
    <w:rsid w:val="00956C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0467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D5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526"/>
  </w:style>
  <w:style w:type="paragraph" w:styleId="Piedepgina">
    <w:name w:val="footer"/>
    <w:basedOn w:val="Normal"/>
    <w:link w:val="PiedepginaCar"/>
    <w:uiPriority w:val="99"/>
    <w:unhideWhenUsed/>
    <w:rsid w:val="00CD5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ocalo.com.mx/reforma/detail/litigan-impuestos-ecologicos-a-zacatecas" TargetMode="External"/><Relationship Id="rId2" Type="http://schemas.openxmlformats.org/officeDocument/2006/relationships/hyperlink" Target="https://www.proceso.com.mx/500030/pais-una-gigantesca-concesion-mapas).Este" TargetMode="External"/><Relationship Id="rId1" Type="http://schemas.openxmlformats.org/officeDocument/2006/relationships/hyperlink" Target="http://www.fao.org/docrep/006/Y5062S/y5062s08.htm" TargetMode="External"/><Relationship Id="rId5" Type="http://schemas.openxmlformats.org/officeDocument/2006/relationships/hyperlink" Target="https://www.morganstanley.com/press-releases/morgan-stanley-private-equity-and-jess-reyes-heroles-announce-partnership_dceea7cb-495a-40ab-904d-5b672faef863" TargetMode="External"/><Relationship Id="rId4" Type="http://schemas.openxmlformats.org/officeDocument/2006/relationships/hyperlink" Target="http://www.fgra.org.mx/quienes-som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AFEF-8C8E-43AC-A08A-BBD685F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Burns</dc:creator>
  <cp:keywords/>
  <dc:description/>
  <cp:lastModifiedBy>E Burns</cp:lastModifiedBy>
  <cp:revision>13</cp:revision>
  <dcterms:created xsi:type="dcterms:W3CDTF">2018-08-28T19:34:00Z</dcterms:created>
  <dcterms:modified xsi:type="dcterms:W3CDTF">2018-08-29T04:41:00Z</dcterms:modified>
</cp:coreProperties>
</file>