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D8" w:rsidRDefault="004708D8" w:rsidP="004708D8">
      <w:pPr>
        <w:pStyle w:val="Texto"/>
        <w:spacing w:after="0" w:line="240" w:lineRule="auto"/>
        <w:ind w:firstLine="0"/>
        <w:jc w:val="center"/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</w:pPr>
      <w:r w:rsidRPr="006D312C"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>Propuestas</w:t>
      </w:r>
      <w:r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 derivadas del análisis del Plan 2018-2024 del Presidente Electo.</w:t>
      </w:r>
    </w:p>
    <w:p w:rsidR="004708D8" w:rsidRDefault="004708D8" w:rsidP="004708D8">
      <w:pPr>
        <w:pStyle w:val="Texto"/>
        <w:spacing w:after="0" w:line="240" w:lineRule="auto"/>
        <w:ind w:firstLine="0"/>
        <w:jc w:val="center"/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Elaboradas por Dr. Alfonso G. Banderas </w:t>
      </w:r>
      <w:proofErr w:type="spellStart"/>
      <w:r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>Tarabay</w:t>
      </w:r>
      <w:proofErr w:type="spellEnd"/>
      <w:r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 y Dra. Rebeca González-Villela del </w:t>
      </w:r>
      <w:proofErr w:type="spellStart"/>
      <w:r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>SITIMTA</w:t>
      </w:r>
      <w:proofErr w:type="spellEnd"/>
      <w:r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>.</w:t>
      </w:r>
    </w:p>
    <w:p w:rsidR="004708D8" w:rsidRDefault="004708D8" w:rsidP="004708D8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En la opinión de los autores, se deben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aplicar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teorías que permitan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hacer realmente sustentable la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gestión del agua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en el país, función sustantiva del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en las Leyes de Aguas Nacionales (LAN) y en la Propuesta de Ley General de Aguas (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LGA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),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y generar métodos para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mejorar lo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s servicios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que se contratan,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ya que la Ley de Ciencia y Tecnología asigna esta tarea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al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Atendiendo al cambio de sexenio presidencial en México, los investigadores queremos continuar participando con el gobierno de la república con las siguientes propuestas concordantes con una gestión sustentable:</w:t>
      </w:r>
    </w:p>
    <w:p w:rsidR="002A68E0" w:rsidRDefault="002A68E0" w:rsidP="004708D8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</w:p>
    <w:p w:rsidR="006F639C" w:rsidRPr="005D604D" w:rsidRDefault="006F639C" w:rsidP="006F639C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</w:pPr>
      <w:r w:rsidRPr="005D604D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Propuesta I.</w:t>
      </w:r>
      <w:r w:rsidRPr="005D604D"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 </w:t>
      </w:r>
    </w:p>
    <w:p w:rsidR="006F639C" w:rsidRDefault="006F639C" w:rsidP="006F639C">
      <w:pPr>
        <w:pStyle w:val="NormalWeb"/>
        <w:spacing w:before="0" w:beforeAutospacing="0" w:after="0" w:afterAutospacing="0"/>
        <w:jc w:val="both"/>
        <w:rPr>
          <w:rFonts w:ascii="Calibri" w:eastAsiaTheme="minorHAnsi" w:hAnsi="Calibri"/>
          <w:sz w:val="22"/>
          <w:szCs w:val="22"/>
        </w:rPr>
      </w:pPr>
      <w:r w:rsidRPr="006E7732">
        <w:rPr>
          <w:rFonts w:ascii="Calibri" w:eastAsiaTheme="minorHAnsi" w:hAnsi="Calibri"/>
          <w:sz w:val="22"/>
          <w:szCs w:val="22"/>
        </w:rPr>
        <w:t>Esta propuesta está relacionada con el</w:t>
      </w:r>
      <w:r>
        <w:rPr>
          <w:rFonts w:ascii="Calibri" w:eastAsiaTheme="minorHAnsi" w:hAnsi="Calibri"/>
          <w:sz w:val="22"/>
          <w:szCs w:val="22"/>
        </w:rPr>
        <w:t xml:space="preserve"> Plan 2018 del Presidente Electo relacionado a garantizar el derecho humano al agua y la alimentación, en particular:</w:t>
      </w:r>
    </w:p>
    <w:p w:rsidR="006F639C" w:rsidRDefault="006F639C" w:rsidP="006F639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>
        <w:rPr>
          <w:rFonts w:asciiTheme="minorHAnsi" w:hAnsiTheme="minorHAnsi"/>
          <w:i/>
          <w:color w:val="333333"/>
          <w:sz w:val="22"/>
          <w:szCs w:val="22"/>
        </w:rPr>
        <w:t xml:space="preserve">… </w:t>
      </w:r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revisar la función de la 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SEMARNAT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 y sus órganos desconcentrados (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CONAGUA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, 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IMTA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>),</w:t>
      </w:r>
    </w:p>
    <w:p w:rsidR="002A68E0" w:rsidRDefault="006F639C" w:rsidP="00171C50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El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SITIMTA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propone </w:t>
      </w:r>
      <w:r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evaluar la efectividad de la políticas públicas en materia de agua, tal y como se asienta </w:t>
      </w:r>
      <w:r w:rsid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en la funciones del </w:t>
      </w:r>
      <w:proofErr w:type="spellStart"/>
      <w:r w:rsid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 w:rsid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</w:t>
      </w:r>
      <w:r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en el </w:t>
      </w:r>
      <w:r w:rsidR="00171C50">
        <w:rPr>
          <w:rFonts w:ascii="Calibri" w:eastAsiaTheme="minorHAnsi" w:hAnsi="Calibri" w:cs="Times New Roman"/>
          <w:sz w:val="22"/>
          <w:szCs w:val="22"/>
          <w:lang w:val="es-MX" w:eastAsia="es-MX"/>
        </w:rPr>
        <w:t>Proyecto de I</w:t>
      </w:r>
      <w:r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niciativa Ley General de Aguas propuesto por la </w:t>
      </w:r>
      <w:proofErr w:type="spellStart"/>
      <w:r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>LXIII</w:t>
      </w:r>
      <w:proofErr w:type="spellEnd"/>
      <w:r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Legislatura, para lo cual queda a cargo de las redes de monitoreo nacionales que miden la calidad y cantidad del agua, y actualizar el nombre a Instituto Mexicano del Agua, más amplio e incluyente acorde a sus nuevas funciones, sin menoscabo de los derechos de sus trabajadores.</w:t>
      </w:r>
    </w:p>
    <w:p w:rsidR="002A68E0" w:rsidRPr="002A68E0" w:rsidRDefault="006F639C" w:rsidP="002A68E0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>Los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investigadores que constituyen al Consejo Consultivo en Ciencia y Tecnología del Agua del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SITIMTA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, convenc</w:t>
      </w:r>
      <w:r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>i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er</w:t>
      </w:r>
      <w:r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>on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a los integrantes de la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LXIII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Legislatura encargada de elaborar la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LGA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. Se puede ver más información en </w:t>
      </w:r>
      <w:r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González y Banderas (2016), Banderas y González (2017 y 2018), y en la liga</w:t>
      </w:r>
      <w:r w:rsidR="002A68E0" w:rsidRPr="002A68E0">
        <w:rPr>
          <w:rFonts w:ascii="Calibri" w:eastAsiaTheme="minorHAnsi" w:hAnsi="Calibri" w:cs="Times New Roman"/>
          <w:sz w:val="22"/>
          <w:szCs w:val="22"/>
          <w:lang w:val="es-MX" w:eastAsia="es-MX"/>
        </w:rPr>
        <w:t>:</w:t>
      </w:r>
    </w:p>
    <w:p w:rsidR="002A68E0" w:rsidRDefault="002A68E0" w:rsidP="002A68E0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(</w:t>
      </w:r>
      <w:r w:rsidRPr="00A115DD">
        <w:rPr>
          <w:rFonts w:ascii="Calibri" w:eastAsiaTheme="minorHAnsi" w:hAnsi="Calibri" w:cs="Times New Roman"/>
          <w:sz w:val="22"/>
          <w:szCs w:val="22"/>
          <w:lang w:val="es-MX" w:eastAsia="es-MX"/>
        </w:rPr>
        <w:t>http://www.canaldelcongreso.gob.mx/vod/reproducir/0_chy1fqji/Comision_de_Agua_Potable_y_Saneamiento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).</w:t>
      </w:r>
    </w:p>
    <w:p w:rsidR="004708D8" w:rsidRDefault="004708D8" w:rsidP="002A68E0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</w:p>
    <w:p w:rsidR="004708D8" w:rsidRPr="005D604D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</w:pPr>
      <w:r w:rsidRPr="005D604D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Propuesta I</w:t>
      </w:r>
      <w:r w:rsidR="002A68E0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I</w:t>
      </w:r>
      <w:r w:rsidRPr="005D604D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.</w:t>
      </w:r>
      <w:r w:rsidRPr="005D604D"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 </w:t>
      </w:r>
    </w:p>
    <w:p w:rsidR="004708D8" w:rsidRDefault="004708D8" w:rsidP="004708D8">
      <w:pPr>
        <w:pStyle w:val="NormalWeb"/>
        <w:spacing w:before="0" w:beforeAutospacing="0" w:after="0" w:afterAutospacing="0"/>
        <w:jc w:val="both"/>
        <w:rPr>
          <w:rFonts w:ascii="Calibri" w:eastAsiaTheme="minorHAnsi" w:hAnsi="Calibri"/>
          <w:sz w:val="22"/>
          <w:szCs w:val="22"/>
        </w:rPr>
      </w:pPr>
      <w:r w:rsidRPr="006E7732">
        <w:rPr>
          <w:rFonts w:ascii="Calibri" w:eastAsiaTheme="minorHAnsi" w:hAnsi="Calibri"/>
          <w:sz w:val="22"/>
          <w:szCs w:val="22"/>
        </w:rPr>
        <w:t>Esta propuesta está relacionada con el</w:t>
      </w:r>
      <w:r>
        <w:rPr>
          <w:rFonts w:ascii="Calibri" w:eastAsiaTheme="minorHAnsi" w:hAnsi="Calibri"/>
          <w:sz w:val="22"/>
          <w:szCs w:val="22"/>
        </w:rPr>
        <w:t xml:space="preserve"> Plan 2018 del Presidente Electo relacionado a garantizar el derecho humano al agua y la alimentación, en particular:</w:t>
      </w:r>
    </w:p>
    <w:p w:rsidR="004708D8" w:rsidRPr="00BC609E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BC609E">
        <w:rPr>
          <w:rFonts w:asciiTheme="minorHAnsi" w:hAnsiTheme="minorHAnsi"/>
          <w:i/>
          <w:color w:val="333333"/>
          <w:sz w:val="22"/>
          <w:szCs w:val="22"/>
        </w:rPr>
        <w:t>Intensificar la acuicultura evitando la contaminación</w:t>
      </w:r>
    </w:p>
    <w:p w:rsidR="004708D8" w:rsidRPr="00BC609E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BC609E">
        <w:rPr>
          <w:rFonts w:asciiTheme="minorHAnsi" w:hAnsiTheme="minorHAnsi"/>
          <w:i/>
          <w:color w:val="333333"/>
          <w:sz w:val="22"/>
          <w:szCs w:val="22"/>
        </w:rPr>
        <w:t>Maricultura en la zona litoral.</w:t>
      </w:r>
    </w:p>
    <w:p w:rsidR="004708D8" w:rsidRPr="00BC609E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BC609E">
        <w:rPr>
          <w:rFonts w:asciiTheme="minorHAnsi" w:hAnsiTheme="minorHAnsi"/>
          <w:i/>
          <w:color w:val="333333"/>
          <w:sz w:val="22"/>
          <w:szCs w:val="22"/>
        </w:rPr>
        <w:t>Protección de especies para la pesca deportiva, especialmente marinas.</w:t>
      </w:r>
    </w:p>
    <w:p w:rsidR="004708D8" w:rsidRPr="00BC609E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BC609E">
        <w:rPr>
          <w:rFonts w:asciiTheme="minorHAnsi" w:hAnsiTheme="minorHAnsi"/>
          <w:i/>
          <w:color w:val="333333"/>
          <w:sz w:val="22"/>
          <w:szCs w:val="22"/>
        </w:rPr>
        <w:t>En cuestiones ambientales:</w:t>
      </w:r>
    </w:p>
    <w:p w:rsidR="004708D8" w:rsidRPr="00BC609E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Fomentar las comunidades autosustentables en alimentos, energéticos y agua, proteger los manglares, aplicar el pacto de Río, cumplir con las 24 acciones de la Agenda Ambiental, revisar la función de la 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SEMARNAT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 y sus órganos desconcentrados (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CONAGUA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, 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IMTA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), aumentar el presupuesto de la 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CONABIO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>, ampliar el fondo para el cambio climático, prohibir explotación de hidrocarburos en áreas naturales protegidas, implementar un plan nacional de restauración ambiental.</w:t>
      </w:r>
    </w:p>
    <w:p w:rsidR="004708D8" w:rsidRDefault="004708D8" w:rsidP="00171C50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El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SITIMTA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propone que la “Norma Mexicana </w:t>
      </w:r>
      <w:r>
        <w:t>NMX-AA-159-SCFI-2012 Que Establece el Procedimiento para la Determinación del Caudal Ecológico en Cuencas Hidrológicas”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, sea elevada a Norma Oficial </w:t>
      </w:r>
      <w:r w:rsidR="00C8619A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Mexicana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después de hacerle algunas modificaciones que manejen el concepto multifactorial de “capacidad de carga del ecosistema” (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Pianka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, 1974), con relación a la sostenibilidad, pues el caudal ecológico es la medida de dicha capacidad en lo referente al factor agua y, aunque estuviera rebasado, su determinación es importante para la planeación a futuro</w:t>
      </w:r>
      <w:r w:rsidR="00AD145F" w:rsidRPr="00AD145F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</w:t>
      </w:r>
      <w:r w:rsidR="00AD145F">
        <w:rPr>
          <w:rFonts w:ascii="Calibri" w:eastAsiaTheme="minorHAnsi" w:hAnsi="Calibri" w:cs="Times New Roman"/>
          <w:sz w:val="22"/>
          <w:szCs w:val="22"/>
          <w:lang w:val="es-MX" w:eastAsia="es-MX"/>
        </w:rPr>
        <w:t>(González-Villela y Banderas, 2016)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. Esta es, además, el mecanismo para concretar la propuesta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lastRenderedPageBreak/>
        <w:t xml:space="preserve">contenida en la “Propuesta de la Ley General de Aguas” emitida por la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LXIII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Legislatura con relación a las funciones del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</w:p>
    <w:p w:rsidR="004708D8" w:rsidRDefault="004708D8" w:rsidP="004708D8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</w:p>
    <w:p w:rsidR="004708D8" w:rsidRPr="005D604D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</w:pPr>
      <w:r w:rsidRPr="005D604D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Propuesta I</w:t>
      </w:r>
      <w:r w:rsidR="002A68E0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I</w:t>
      </w:r>
      <w:r w:rsidRPr="005D604D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I.</w:t>
      </w:r>
      <w:r w:rsidRPr="005D604D"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 </w:t>
      </w:r>
    </w:p>
    <w:p w:rsidR="004708D8" w:rsidRDefault="004708D8" w:rsidP="004708D8">
      <w:pPr>
        <w:pStyle w:val="NormalWeb"/>
        <w:spacing w:before="0" w:beforeAutospacing="0" w:after="0" w:afterAutospacing="0"/>
        <w:jc w:val="both"/>
        <w:rPr>
          <w:rFonts w:ascii="Calibri" w:eastAsiaTheme="minorHAnsi" w:hAnsi="Calibri"/>
          <w:sz w:val="22"/>
          <w:szCs w:val="22"/>
        </w:rPr>
      </w:pPr>
      <w:r w:rsidRPr="006E7732">
        <w:rPr>
          <w:rFonts w:ascii="Calibri" w:eastAsiaTheme="minorHAnsi" w:hAnsi="Calibri"/>
          <w:sz w:val="22"/>
          <w:szCs w:val="22"/>
        </w:rPr>
        <w:t>Esta propuesta está relacionada con el</w:t>
      </w:r>
      <w:r>
        <w:rPr>
          <w:rFonts w:ascii="Calibri" w:eastAsiaTheme="minorHAnsi" w:hAnsi="Calibri"/>
          <w:sz w:val="22"/>
          <w:szCs w:val="22"/>
        </w:rPr>
        <w:t xml:space="preserve"> Plan 2018 del Presidente Electo relacionado al sector rural y campesino, pero también incluye otros ámbitos, sobre todo en lo relacionado a garantizar el derecho humano al agua y la alimentación y garantizar un fondo para la investigación y desarrollo tecnológico en el sector agua:</w:t>
      </w:r>
    </w:p>
    <w:p w:rsidR="004708D8" w:rsidRPr="0007521C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7521C">
        <w:rPr>
          <w:rFonts w:asciiTheme="minorHAnsi" w:hAnsiTheme="minorHAnsi"/>
          <w:i/>
          <w:color w:val="333333"/>
          <w:sz w:val="22"/>
          <w:szCs w:val="22"/>
        </w:rPr>
        <w:t xml:space="preserve">En el sector rural y campesino: </w:t>
      </w:r>
    </w:p>
    <w:p w:rsidR="004708D8" w:rsidRPr="0007521C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7521C">
        <w:rPr>
          <w:rFonts w:asciiTheme="minorHAnsi" w:hAnsiTheme="minorHAnsi"/>
          <w:i/>
          <w:color w:val="333333"/>
          <w:sz w:val="22"/>
          <w:szCs w:val="22"/>
        </w:rPr>
        <w:t xml:space="preserve">Promover el </w:t>
      </w:r>
      <w:proofErr w:type="spellStart"/>
      <w:r w:rsidRPr="0007521C">
        <w:rPr>
          <w:rFonts w:asciiTheme="minorHAnsi" w:hAnsiTheme="minorHAnsi"/>
          <w:i/>
          <w:color w:val="333333"/>
          <w:sz w:val="22"/>
          <w:szCs w:val="22"/>
        </w:rPr>
        <w:t>MIAF</w:t>
      </w:r>
      <w:proofErr w:type="spellEnd"/>
      <w:r w:rsidRPr="0007521C">
        <w:rPr>
          <w:rFonts w:asciiTheme="minorHAnsi" w:hAnsiTheme="minorHAnsi"/>
          <w:i/>
          <w:color w:val="333333"/>
          <w:sz w:val="22"/>
          <w:szCs w:val="22"/>
        </w:rPr>
        <w:t xml:space="preserve"> (milpa ampliada con árboles frutales) para fomentar la soberanía alimentaria, parcelas escolares, comunitarias y rurales (cruzada nacional contra el hambre).</w:t>
      </w:r>
    </w:p>
    <w:p w:rsidR="004708D8" w:rsidRPr="0007521C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7521C">
        <w:rPr>
          <w:rFonts w:asciiTheme="minorHAnsi" w:hAnsiTheme="minorHAnsi"/>
          <w:i/>
          <w:color w:val="333333"/>
          <w:sz w:val="22"/>
          <w:szCs w:val="22"/>
        </w:rPr>
        <w:t>Turismo sustentable, turismo clínico (en la frontera norte), más destinos turísticos.</w:t>
      </w:r>
    </w:p>
    <w:p w:rsidR="004708D8" w:rsidRPr="0007521C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7521C">
        <w:rPr>
          <w:rFonts w:asciiTheme="minorHAnsi" w:hAnsiTheme="minorHAnsi"/>
          <w:i/>
          <w:color w:val="333333"/>
          <w:sz w:val="22"/>
          <w:szCs w:val="22"/>
        </w:rPr>
        <w:t xml:space="preserve">Política agropecuaria, más incluyente, equitativa, productiva y sustentable, visión de largo plazo, confianza, soberanía alimentaria, agricultura del conocimiento, </w:t>
      </w:r>
      <w:proofErr w:type="spellStart"/>
      <w:r w:rsidRPr="0007521C">
        <w:rPr>
          <w:rFonts w:asciiTheme="minorHAnsi" w:hAnsiTheme="minorHAnsi"/>
          <w:i/>
          <w:color w:val="333333"/>
          <w:sz w:val="22"/>
          <w:szCs w:val="22"/>
        </w:rPr>
        <w:t>resiliente</w:t>
      </w:r>
      <w:proofErr w:type="spellEnd"/>
      <w:r w:rsidRPr="0007521C">
        <w:rPr>
          <w:rFonts w:asciiTheme="minorHAnsi" w:hAnsiTheme="minorHAnsi"/>
          <w:i/>
          <w:color w:val="333333"/>
          <w:sz w:val="22"/>
          <w:szCs w:val="22"/>
        </w:rPr>
        <w:t>, global, agroecológica, precios piso garantizados, planeación oferta-demanda, orgánica, restauración forestal, programa nacional de jornaleros, capacitación, investigación y transferencia de tecnología agrícola (1% del PIB). Debilidad y falta de organización, personal y presupuesto de las instituciones involucradas, desarrollar una nueva política nacional de investigación e innovación tecnológica (</w:t>
      </w:r>
      <w:proofErr w:type="spellStart"/>
      <w:r w:rsidRPr="0007521C">
        <w:rPr>
          <w:rFonts w:asciiTheme="minorHAnsi" w:hAnsiTheme="minorHAnsi"/>
          <w:i/>
          <w:color w:val="333333"/>
          <w:sz w:val="22"/>
          <w:szCs w:val="22"/>
        </w:rPr>
        <w:t>SEMARNAT</w:t>
      </w:r>
      <w:proofErr w:type="spellEnd"/>
      <w:r w:rsidRPr="0007521C">
        <w:rPr>
          <w:rFonts w:asciiTheme="minorHAnsi" w:hAnsiTheme="minorHAnsi"/>
          <w:i/>
          <w:color w:val="333333"/>
          <w:sz w:val="22"/>
          <w:szCs w:val="22"/>
        </w:rPr>
        <w:t xml:space="preserve"> y otras), mejorando sus capacidades humanas y organizacionales, garantizar la sustentabilidad mediante la economía circular, introducir nuevas formas de producción, crear centros de acopio, proyecto “nuestro maíz”, cadenas de valor, hacer valer la NOM-031-ZOO-1995, organización.</w:t>
      </w:r>
    </w:p>
    <w:p w:rsidR="004708D8" w:rsidRPr="0007521C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7521C">
        <w:rPr>
          <w:rFonts w:asciiTheme="minorHAnsi" w:hAnsiTheme="minorHAnsi"/>
          <w:i/>
          <w:color w:val="333333"/>
          <w:sz w:val="22"/>
          <w:szCs w:val="22"/>
        </w:rPr>
        <w:t>Autonomía a las universidades particulares (la Autónoma de Guadalajara ya lo es).</w:t>
      </w:r>
    </w:p>
    <w:p w:rsidR="004708D8" w:rsidRDefault="004708D8" w:rsidP="00171C50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El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SITIMTA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propone una tarifa sustentable del agua elaborada sobre bases físicas que elimina la especulación en la fijación del precio del agua, fija y regula sobre bases objetivas los precios en todos los procesos productivos que demandan agua, frena la especulación, la contaminación y el abuso, asigna financiamientos para la investigación sobre el recurso y para realizar obras y acciones que protegen la calidad y cantidad del agua en las cuencas, de manera que constituye un control eficiente en caso de que llegara a privatizarse</w:t>
      </w:r>
      <w:r w:rsidRPr="008612A0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el servicio.</w:t>
      </w:r>
      <w:r w:rsidRPr="0007521C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Dicha tarifa se encuentra descrita en la referencia Banderas y González (2018).</w:t>
      </w:r>
    </w:p>
    <w:p w:rsidR="004708D8" w:rsidRDefault="004708D8" w:rsidP="004708D8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</w:p>
    <w:p w:rsidR="004708D8" w:rsidRPr="005D604D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</w:pPr>
      <w:r w:rsidRPr="005D604D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Propuesta I</w:t>
      </w:r>
      <w:r w:rsidR="002A68E0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V</w:t>
      </w:r>
      <w:r w:rsidRPr="005D604D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.</w:t>
      </w:r>
    </w:p>
    <w:p w:rsidR="004708D8" w:rsidRDefault="004708D8" w:rsidP="004708D8">
      <w:pPr>
        <w:pStyle w:val="NormalWeb"/>
        <w:spacing w:before="0" w:beforeAutospacing="0" w:after="0" w:afterAutospacing="0"/>
        <w:jc w:val="both"/>
        <w:rPr>
          <w:rFonts w:ascii="Calibri" w:eastAsiaTheme="minorHAnsi" w:hAnsi="Calibri"/>
          <w:sz w:val="22"/>
          <w:szCs w:val="22"/>
        </w:rPr>
      </w:pPr>
      <w:r w:rsidRPr="006E7732">
        <w:rPr>
          <w:rFonts w:ascii="Calibri" w:eastAsiaTheme="minorHAnsi" w:hAnsi="Calibri"/>
          <w:sz w:val="22"/>
          <w:szCs w:val="22"/>
        </w:rPr>
        <w:t>Esta propuesta está relacionada con el</w:t>
      </w:r>
      <w:r>
        <w:rPr>
          <w:rFonts w:ascii="Calibri" w:eastAsiaTheme="minorHAnsi" w:hAnsi="Calibri"/>
          <w:sz w:val="22"/>
          <w:szCs w:val="22"/>
        </w:rPr>
        <w:t xml:space="preserve"> Plan 2018 del Presidente Electo relacionado a garantizar el derecho humano al agua y la alimentación, el cual se divide en varios proyectos superiores:</w:t>
      </w:r>
    </w:p>
    <w:p w:rsidR="004708D8" w:rsidRPr="006E7732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="Calibri" w:eastAsiaTheme="minorHAnsi" w:hAnsi="Calibri"/>
          <w:i/>
          <w:sz w:val="22"/>
          <w:szCs w:val="22"/>
        </w:rPr>
        <w:t xml:space="preserve">El </w:t>
      </w:r>
      <w:r w:rsidRPr="000A341B">
        <w:rPr>
          <w:rFonts w:asciiTheme="minorHAnsi" w:hAnsiTheme="minorHAnsi"/>
          <w:i/>
          <w:color w:val="333333"/>
          <w:sz w:val="22"/>
          <w:szCs w:val="22"/>
        </w:rPr>
        <w:t>primer proyecto superior “de la autosuficiencia hídrica”,</w:t>
      </w:r>
      <w:r w:rsidRPr="006E7732">
        <w:rPr>
          <w:rFonts w:asciiTheme="minorHAnsi" w:hAnsiTheme="minorHAnsi"/>
          <w:i/>
          <w:color w:val="333333"/>
          <w:sz w:val="22"/>
          <w:szCs w:val="22"/>
        </w:rPr>
        <w:t xml:space="preserve"> compuesto de tres proyectos:</w:t>
      </w:r>
    </w:p>
    <w:p w:rsidR="004708D8" w:rsidRPr="006E7732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6E7732">
        <w:rPr>
          <w:rFonts w:asciiTheme="minorHAnsi" w:hAnsiTheme="minorHAnsi"/>
          <w:i/>
          <w:color w:val="333333"/>
          <w:sz w:val="22"/>
          <w:szCs w:val="22"/>
        </w:rPr>
        <w:t xml:space="preserve">1. Proyecto de mejora de la infraestructura </w:t>
      </w:r>
      <w:proofErr w:type="spellStart"/>
      <w:r w:rsidRPr="006E7732">
        <w:rPr>
          <w:rFonts w:asciiTheme="minorHAnsi" w:hAnsiTheme="minorHAnsi"/>
          <w:i/>
          <w:color w:val="333333"/>
          <w:sz w:val="22"/>
          <w:szCs w:val="22"/>
        </w:rPr>
        <w:t>hidroagrícola</w:t>
      </w:r>
      <w:proofErr w:type="spellEnd"/>
      <w:r w:rsidRPr="006E7732">
        <w:rPr>
          <w:rFonts w:asciiTheme="minorHAnsi" w:hAnsiTheme="minorHAnsi"/>
          <w:i/>
          <w:color w:val="333333"/>
          <w:sz w:val="22"/>
          <w:szCs w:val="22"/>
        </w:rPr>
        <w:t xml:space="preserve"> hacia la autosuficiencia alimentaria.</w:t>
      </w:r>
    </w:p>
    <w:p w:rsidR="004708D8" w:rsidRPr="006E7732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6E7732">
        <w:rPr>
          <w:rFonts w:asciiTheme="minorHAnsi" w:hAnsiTheme="minorHAnsi"/>
          <w:i/>
          <w:color w:val="333333"/>
          <w:sz w:val="22"/>
          <w:szCs w:val="22"/>
        </w:rPr>
        <w:t>2. Proyecto de aseguramiento de la disponibilidad de agua potable.</w:t>
      </w:r>
    </w:p>
    <w:p w:rsidR="004708D8" w:rsidRPr="006E7732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6E7732">
        <w:rPr>
          <w:rFonts w:asciiTheme="minorHAnsi" w:hAnsiTheme="minorHAnsi"/>
          <w:i/>
          <w:color w:val="333333"/>
          <w:sz w:val="22"/>
          <w:szCs w:val="22"/>
        </w:rPr>
        <w:t>3. Proyecto de mejora de la eficiencia en la distribución urbana.</w:t>
      </w:r>
    </w:p>
    <w:p w:rsidR="004708D8" w:rsidRPr="006E7732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6E7732">
        <w:rPr>
          <w:rFonts w:asciiTheme="minorHAnsi" w:hAnsiTheme="minorHAnsi"/>
          <w:i/>
          <w:color w:val="333333"/>
          <w:sz w:val="22"/>
          <w:szCs w:val="22"/>
        </w:rPr>
        <w:t>Costo: 475 mil millones de pesos.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 xml:space="preserve">El segundo </w:t>
      </w:r>
      <w:r>
        <w:rPr>
          <w:rFonts w:asciiTheme="minorHAnsi" w:hAnsiTheme="minorHAnsi"/>
          <w:i/>
          <w:color w:val="333333"/>
          <w:sz w:val="22"/>
          <w:szCs w:val="22"/>
        </w:rPr>
        <w:t xml:space="preserve">proyecto superior </w:t>
      </w:r>
      <w:r w:rsidRPr="000A341B">
        <w:rPr>
          <w:rFonts w:asciiTheme="minorHAnsi" w:hAnsiTheme="minorHAnsi"/>
          <w:i/>
          <w:color w:val="333333"/>
          <w:sz w:val="22"/>
          <w:szCs w:val="22"/>
        </w:rPr>
        <w:t>es la mejora de la infraestructura hidrológica para lograr la autosuficiencia alimentaria, sobre todo en el norte, noroeste.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>Ampliar a 8 millones las has de riego, especialmente gramíneas.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>Costo: 94 mil millones de pesos.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 xml:space="preserve">El tercero </w:t>
      </w:r>
      <w:r>
        <w:rPr>
          <w:rFonts w:asciiTheme="minorHAnsi" w:hAnsiTheme="minorHAnsi"/>
          <w:i/>
          <w:color w:val="333333"/>
          <w:sz w:val="22"/>
          <w:szCs w:val="22"/>
        </w:rPr>
        <w:t xml:space="preserve">proyecto superior </w:t>
      </w:r>
      <w:r w:rsidRPr="000A341B">
        <w:rPr>
          <w:rFonts w:asciiTheme="minorHAnsi" w:hAnsiTheme="minorHAnsi"/>
          <w:i/>
          <w:color w:val="333333"/>
          <w:sz w:val="22"/>
          <w:szCs w:val="22"/>
        </w:rPr>
        <w:t>es asegurar la disponibilidad de agua potable.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>Mediante de saladoras y acueductos.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>Costo: 80 mil millones de pesos.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 xml:space="preserve">El cuarto </w:t>
      </w:r>
      <w:r>
        <w:rPr>
          <w:rFonts w:asciiTheme="minorHAnsi" w:hAnsiTheme="minorHAnsi"/>
          <w:i/>
          <w:color w:val="333333"/>
          <w:sz w:val="22"/>
          <w:szCs w:val="22"/>
        </w:rPr>
        <w:t xml:space="preserve">proyecto superior </w:t>
      </w:r>
      <w:r w:rsidRPr="000A341B">
        <w:rPr>
          <w:rFonts w:asciiTheme="minorHAnsi" w:hAnsiTheme="minorHAnsi"/>
          <w:i/>
          <w:color w:val="333333"/>
          <w:sz w:val="22"/>
          <w:szCs w:val="22"/>
        </w:rPr>
        <w:t>es la mejora en la eficiencia urbana.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>1. Mejorar la eficiencia de las redes.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>2. Incrementar la facturación.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lastRenderedPageBreak/>
        <w:t>3. Disminuir costos innecesarios.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 xml:space="preserve">4. Establecer parámetros de eficiencia de los </w:t>
      </w:r>
      <w:proofErr w:type="spellStart"/>
      <w:r w:rsidRPr="000A341B">
        <w:rPr>
          <w:rFonts w:asciiTheme="minorHAnsi" w:hAnsiTheme="minorHAnsi"/>
          <w:i/>
          <w:color w:val="333333"/>
          <w:sz w:val="22"/>
          <w:szCs w:val="22"/>
        </w:rPr>
        <w:t>OOP</w:t>
      </w:r>
      <w:proofErr w:type="spellEnd"/>
      <w:r w:rsidRPr="000A341B">
        <w:rPr>
          <w:rFonts w:asciiTheme="minorHAnsi" w:hAnsiTheme="minorHAnsi"/>
          <w:i/>
          <w:color w:val="333333"/>
          <w:sz w:val="22"/>
          <w:szCs w:val="22"/>
        </w:rPr>
        <w:t>.</w:t>
      </w:r>
    </w:p>
    <w:p w:rsidR="004708D8" w:rsidRPr="000A341B" w:rsidRDefault="004708D8" w:rsidP="004708D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2"/>
          <w:szCs w:val="22"/>
        </w:rPr>
      </w:pPr>
      <w:r w:rsidRPr="000A341B">
        <w:rPr>
          <w:rFonts w:asciiTheme="minorHAnsi" w:hAnsiTheme="minorHAnsi"/>
          <w:i/>
          <w:color w:val="333333"/>
          <w:sz w:val="22"/>
          <w:szCs w:val="22"/>
        </w:rPr>
        <w:t>Costo: 20 mil millones de pesos.</w:t>
      </w:r>
    </w:p>
    <w:p w:rsidR="004708D8" w:rsidRDefault="004708D8" w:rsidP="00171C50">
      <w:pPr>
        <w:pStyle w:val="NormalWeb"/>
        <w:spacing w:before="0" w:beforeAutospacing="0" w:after="0" w:afterAutospacing="0"/>
        <w:ind w:firstLine="426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Al respecto, el </w:t>
      </w:r>
      <w:proofErr w:type="spellStart"/>
      <w:r>
        <w:rPr>
          <w:rFonts w:ascii="Calibri" w:eastAsiaTheme="minorHAnsi" w:hAnsi="Calibri"/>
          <w:sz w:val="22"/>
          <w:szCs w:val="22"/>
        </w:rPr>
        <w:t>SITIMTA</w:t>
      </w:r>
      <w:proofErr w:type="spellEnd"/>
      <w:r>
        <w:rPr>
          <w:rFonts w:ascii="Calibri" w:eastAsiaTheme="minorHAnsi" w:hAnsi="Calibri"/>
          <w:sz w:val="22"/>
          <w:szCs w:val="22"/>
        </w:rPr>
        <w:t xml:space="preserve"> propone j</w:t>
      </w:r>
      <w:r w:rsidRPr="00B35F0C">
        <w:rPr>
          <w:rFonts w:ascii="Calibri" w:eastAsiaTheme="minorHAnsi" w:hAnsi="Calibri"/>
          <w:sz w:val="22"/>
          <w:szCs w:val="22"/>
        </w:rPr>
        <w:t>erarquizar las actividades que demandan agua con el fin de encauzar las inversiones de una manera administrativamente coherente y socialmente justa, en función de las prioridades socioeconómicas y atendiendo a las reforma</w:t>
      </w:r>
      <w:r>
        <w:rPr>
          <w:rFonts w:ascii="Calibri" w:eastAsiaTheme="minorHAnsi" w:hAnsi="Calibri"/>
          <w:sz w:val="22"/>
          <w:szCs w:val="22"/>
        </w:rPr>
        <w:t xml:space="preserve">s a la </w:t>
      </w:r>
      <w:proofErr w:type="spellStart"/>
      <w:r>
        <w:rPr>
          <w:rFonts w:ascii="Calibri" w:eastAsiaTheme="minorHAnsi" w:hAnsi="Calibri"/>
          <w:sz w:val="22"/>
          <w:szCs w:val="22"/>
        </w:rPr>
        <w:t>CPEUM</w:t>
      </w:r>
      <w:proofErr w:type="spellEnd"/>
      <w:r>
        <w:rPr>
          <w:rFonts w:ascii="Calibri" w:eastAsiaTheme="minorHAnsi" w:hAnsi="Calibri"/>
          <w:sz w:val="22"/>
          <w:szCs w:val="22"/>
        </w:rPr>
        <w:t xml:space="preserve"> realizadas en 2012</w:t>
      </w:r>
      <w:r w:rsidRPr="00B35F0C">
        <w:rPr>
          <w:rFonts w:ascii="Calibri" w:eastAsiaTheme="minorHAnsi" w:hAnsi="Calibri"/>
          <w:sz w:val="22"/>
          <w:szCs w:val="22"/>
        </w:rPr>
        <w:t xml:space="preserve">. </w:t>
      </w:r>
      <w:r>
        <w:rPr>
          <w:rFonts w:ascii="Calibri" w:eastAsiaTheme="minorHAnsi" w:hAnsi="Calibri"/>
          <w:sz w:val="22"/>
          <w:szCs w:val="22"/>
        </w:rPr>
        <w:t>S</w:t>
      </w:r>
      <w:r w:rsidRPr="00B35F0C">
        <w:rPr>
          <w:rFonts w:ascii="Calibri" w:eastAsiaTheme="minorHAnsi" w:hAnsi="Calibri"/>
          <w:sz w:val="22"/>
          <w:szCs w:val="22"/>
        </w:rPr>
        <w:t>e pueden distinguir varios grados de demanda del líquido en función de las necesidades que se tienen que atender, desde el simple mantenimiento del suministro básico y ampliación de la cobertura de agua potable, hasta las actividades que apuntalan el crecimiento económico del país. De esta manera encontramos:</w:t>
      </w:r>
    </w:p>
    <w:p w:rsidR="004708D8" w:rsidRPr="008D4BC3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8D4BC3">
        <w:rPr>
          <w:rFonts w:ascii="Calibri" w:eastAsiaTheme="minorHAnsi" w:hAnsi="Calibri" w:cs="Times New Roman"/>
          <w:sz w:val="22"/>
          <w:szCs w:val="22"/>
          <w:lang w:val="es-MX" w:eastAsia="es-MX"/>
        </w:rPr>
        <w:t>Agua para el sostenimiento de la población: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>Ambiente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Consumo humano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Agricultura básica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Ganadería básica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Vestido (industria básica)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Seguridad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Transporte (infraestructura</w:t>
      </w:r>
      <w:r w:rsidRPr="00C341C2">
        <w:t xml:space="preserve"> </w:t>
      </w:r>
      <w:r>
        <w:t>básica)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Energía básica (electricidad, petróleo)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  <w:ind w:left="360" w:firstLine="66"/>
      </w:pPr>
      <w:r>
        <w:t>Territorio</w:t>
      </w:r>
    </w:p>
    <w:p w:rsidR="004708D8" w:rsidRDefault="004708D8" w:rsidP="004708D8">
      <w:pPr>
        <w:pStyle w:val="Prrafodelista"/>
        <w:spacing w:after="200" w:line="276" w:lineRule="auto"/>
        <w:ind w:left="0" w:firstLine="426"/>
      </w:pPr>
      <w:r>
        <w:t xml:space="preserve">Agua para las actividades legales prioritarias para el </w:t>
      </w:r>
      <w:r w:rsidRPr="00B35F0C">
        <w:t>sostenimiento</w:t>
      </w:r>
      <w:r>
        <w:t xml:space="preserve"> de la economía actual: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Recursos humanos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Agricultura media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Ganadería media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Energía media (electricidad, petróleo)</w:t>
      </w:r>
      <w:r w:rsidRPr="009811F0">
        <w:t xml:space="preserve"> 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Turismo local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Transporte (infraestructura media)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Conservación del ambiente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Comercio interno</w:t>
      </w:r>
    </w:p>
    <w:p w:rsidR="004708D8" w:rsidRPr="00827F7F" w:rsidRDefault="004708D8" w:rsidP="004708D8">
      <w:pPr>
        <w:pStyle w:val="Prrafodelista"/>
        <w:numPr>
          <w:ilvl w:val="0"/>
          <w:numId w:val="1"/>
        </w:numPr>
        <w:spacing w:line="276" w:lineRule="auto"/>
      </w:pPr>
      <w:r w:rsidRPr="00827F7F">
        <w:t xml:space="preserve">Industria </w:t>
      </w:r>
      <w:r>
        <w:t>(</w:t>
      </w:r>
      <w:r w:rsidRPr="00827F7F">
        <w:t>básica</w:t>
      </w:r>
      <w:r>
        <w:t>, extracción)</w:t>
      </w:r>
    </w:p>
    <w:p w:rsidR="004708D8" w:rsidRDefault="004708D8" w:rsidP="004708D8">
      <w:pPr>
        <w:ind w:firstLine="426"/>
      </w:pPr>
      <w:r>
        <w:t xml:space="preserve">Agua para sostener las actividades legales prioritarias para el </w:t>
      </w:r>
      <w:r w:rsidRPr="00691C0C">
        <w:t xml:space="preserve">crecimiento </w:t>
      </w:r>
      <w:r>
        <w:t>de la economía: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Recursos humanos calificados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Investigación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Agricultura intensiva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Ganadería intensiva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Protección del ambiente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Minería (extracción)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Industria (transformación, manufacturas)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Comercio exterior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Transporte (infraestructura alta)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Energía alta (electricidad, petróleo, alternas)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line="276" w:lineRule="auto"/>
      </w:pPr>
      <w:r>
        <w:t>Turismo intensivo</w:t>
      </w:r>
    </w:p>
    <w:p w:rsidR="004708D8" w:rsidRDefault="004708D8" w:rsidP="004708D8">
      <w:pPr>
        <w:ind w:firstLine="426"/>
      </w:pPr>
      <w:r>
        <w:t>Agua para las actividades legales sucedáneas: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lastRenderedPageBreak/>
        <w:t>Cultura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after="200" w:line="276" w:lineRule="auto"/>
      </w:pPr>
      <w:r>
        <w:t>Esparcimiento</w:t>
      </w:r>
    </w:p>
    <w:p w:rsidR="004708D8" w:rsidRDefault="004708D8" w:rsidP="004708D8">
      <w:pPr>
        <w:pStyle w:val="Prrafodelista"/>
        <w:numPr>
          <w:ilvl w:val="0"/>
          <w:numId w:val="1"/>
        </w:numPr>
        <w:spacing w:line="276" w:lineRule="auto"/>
        <w:jc w:val="both"/>
      </w:pPr>
      <w:r>
        <w:t>Comercio de vanidades</w:t>
      </w:r>
    </w:p>
    <w:p w:rsidR="004708D8" w:rsidRDefault="004708D8" w:rsidP="004708D8">
      <w:pPr>
        <w:spacing w:line="276" w:lineRule="auto"/>
        <w:jc w:val="both"/>
      </w:pPr>
      <w:r>
        <w:t xml:space="preserve">En orden descendente, las actividades van requiriendo agua en mayor volumen, pero también producen aguas residuales en la misma proporción, por lo que se requiere de obras, dispositivos y prácticas que permitan optimizar el uso del agua. Siendo la agricultura el principal consumidor de agua en el país, la agricultura intensiva requiere de sistemas de riego tecnificado y de abandonar las practicas ineficientes, si es que se pretende hacerla productiva y sustentable. </w:t>
      </w:r>
    </w:p>
    <w:p w:rsidR="004708D8" w:rsidRDefault="004708D8" w:rsidP="004708D8">
      <w:pPr>
        <w:spacing w:line="276" w:lineRule="auto"/>
        <w:ind w:firstLine="284"/>
        <w:jc w:val="both"/>
      </w:pPr>
      <w:r>
        <w:t>De la misma manera, la industria requiere reciclar el agua y el turismo, que usa intensivamente el territorio, requiere de dispositivos que permitan reciclar el agua y disminuir sus drenajes al ambiente. Así que cuando se pasa del nivel básico, al medio y al intensivo, el ambiente va requiriendo cada vez más de obras y acciones, primero para conservarlo y después para protegerlo. Debe mencionarse que un objetivo del nuevo Gobierno Federal es continuar el crecimiento industrial y turístico.</w:t>
      </w:r>
    </w:p>
    <w:p w:rsidR="004708D8" w:rsidRDefault="004708D8" w:rsidP="004708D8">
      <w:pPr>
        <w:spacing w:line="276" w:lineRule="auto"/>
        <w:ind w:firstLine="284"/>
        <w:jc w:val="both"/>
      </w:pPr>
    </w:p>
    <w:p w:rsidR="004708D8" w:rsidRPr="005D604D" w:rsidRDefault="002A68E0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 xml:space="preserve">Propuesta </w:t>
      </w:r>
      <w:r w:rsidR="004708D8" w:rsidRPr="005D604D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V.</w:t>
      </w:r>
    </w:p>
    <w:p w:rsidR="004708D8" w:rsidRDefault="004708D8" w:rsidP="004708D8">
      <w:pPr>
        <w:pStyle w:val="NormalWeb"/>
        <w:spacing w:before="0" w:beforeAutospacing="0" w:after="0" w:afterAutospacing="0"/>
        <w:jc w:val="both"/>
        <w:rPr>
          <w:rFonts w:ascii="Calibri" w:eastAsiaTheme="minorHAnsi" w:hAnsi="Calibri"/>
          <w:sz w:val="22"/>
          <w:szCs w:val="22"/>
        </w:rPr>
      </w:pPr>
      <w:r w:rsidRPr="006E7732">
        <w:rPr>
          <w:rFonts w:ascii="Calibri" w:eastAsiaTheme="minorHAnsi" w:hAnsi="Calibri"/>
          <w:sz w:val="22"/>
          <w:szCs w:val="22"/>
        </w:rPr>
        <w:t>Esta propuesta está relacionada con el</w:t>
      </w:r>
      <w:r>
        <w:rPr>
          <w:rFonts w:ascii="Calibri" w:eastAsiaTheme="minorHAnsi" w:hAnsi="Calibri"/>
          <w:sz w:val="22"/>
          <w:szCs w:val="22"/>
        </w:rPr>
        <w:t xml:space="preserve"> Plan 2018 del Presidente Electo con relación a:</w:t>
      </w:r>
    </w:p>
    <w:p w:rsidR="004708D8" w:rsidRDefault="004708D8" w:rsidP="004708D8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Theme="minorHAnsi" w:hAnsiTheme="minorHAnsi"/>
          <w:i/>
          <w:color w:val="333333"/>
          <w:sz w:val="22"/>
          <w:szCs w:val="22"/>
          <w:lang w:val="es-MX"/>
        </w:rPr>
        <w:t>“</w:t>
      </w:r>
      <w:r>
        <w:rPr>
          <w:rFonts w:asciiTheme="minorHAnsi" w:hAnsiTheme="minorHAnsi"/>
          <w:i/>
          <w:color w:val="333333"/>
          <w:sz w:val="22"/>
          <w:szCs w:val="22"/>
        </w:rPr>
        <w:t>r</w:t>
      </w:r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evisar la función de la 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SEMARNAT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 y sus órganos desconcentrados (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CONAGUA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 xml:space="preserve">, </w:t>
      </w:r>
      <w:proofErr w:type="spellStart"/>
      <w:r w:rsidRPr="00BC609E">
        <w:rPr>
          <w:rFonts w:asciiTheme="minorHAnsi" w:hAnsiTheme="minorHAnsi"/>
          <w:i/>
          <w:color w:val="333333"/>
          <w:sz w:val="22"/>
          <w:szCs w:val="22"/>
        </w:rPr>
        <w:t>IMTA</w:t>
      </w:r>
      <w:proofErr w:type="spellEnd"/>
      <w:r w:rsidRPr="00BC609E">
        <w:rPr>
          <w:rFonts w:asciiTheme="minorHAnsi" w:hAnsiTheme="minorHAnsi"/>
          <w:i/>
          <w:color w:val="333333"/>
          <w:sz w:val="22"/>
          <w:szCs w:val="22"/>
        </w:rPr>
        <w:t>),</w:t>
      </w:r>
      <w:r>
        <w:rPr>
          <w:rFonts w:asciiTheme="minorHAnsi" w:hAnsiTheme="minorHAnsi"/>
          <w:i/>
          <w:color w:val="333333"/>
          <w:sz w:val="22"/>
          <w:szCs w:val="22"/>
        </w:rPr>
        <w:t>”</w:t>
      </w:r>
    </w:p>
    <w:p w:rsidR="004708D8" w:rsidRDefault="004708D8" w:rsidP="00171C50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EL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SITIMTA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prpone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definir un procedimiento interno para prestar servicios tecnológicos:</w:t>
      </w:r>
    </w:p>
    <w:p w:rsidR="004708D8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1.-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Un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reglamento de prestación de servicios del Instituto, definiendo cargos y responsabilidades de los involucrados, y el mecanismo para contratar servicios, incluyendo las entrevistas cliente-</w:t>
      </w:r>
      <w:proofErr w:type="spellStart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para definir necesidades y capacidades complementarias.</w:t>
      </w:r>
    </w:p>
    <w:p w:rsidR="004708D8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2.- La capacidad instalada de cada unidad administrativa del </w:t>
      </w:r>
      <w:proofErr w:type="spellStart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, con objetivos y justificación, para empatarla con los requerimientos del cliente.</w:t>
      </w:r>
    </w:p>
    <w:p w:rsidR="004708D8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3.- La meta de contratación de las unidades administrativas y </w:t>
      </w:r>
      <w:proofErr w:type="spellStart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subcoordinaciones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, sus objetivos y justificación,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ya que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forma parte de un proceso más amplio que se está diseñando con el fin de adaptar la experiencia y capacidad profesional de los trabajadores del </w:t>
      </w:r>
      <w:proofErr w:type="spellStart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para asegurar que su trabajo será respetado y reconocido, y sirva para complementar y/o ampliar la prestación de servicios institucionales.</w:t>
      </w:r>
    </w:p>
    <w:p w:rsidR="004708D8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4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.-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A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l personal autorizado para presentar el contenido temático de las propuestas de proyectos del </w:t>
      </w:r>
      <w:proofErr w:type="spellStart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ante el cliente y otras instituciones.</w:t>
      </w:r>
    </w:p>
    <w:p w:rsidR="004708D8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5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.-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Los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servicios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que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está prestando actualmente el </w:t>
      </w:r>
      <w:proofErr w:type="spellStart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con el fin de involucrar al personal de base y reducir el </w:t>
      </w:r>
      <w:proofErr w:type="spellStart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outsourcing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</w:p>
    <w:p w:rsidR="004708D8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6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.- La cartera de clientes potenciales y actuales del </w:t>
      </w:r>
      <w:proofErr w:type="spellStart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, incluyendo los requerimientos del cliente y el tipo de servicio que cada equipo de trabajo del </w:t>
      </w:r>
      <w:proofErr w:type="spellStart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IMTA</w:t>
      </w:r>
      <w:proofErr w:type="spellEnd"/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puedo prestar.</w:t>
      </w:r>
    </w:p>
    <w:p w:rsidR="004708D8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7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.- Un departamento de mercadotecnia, encargado de promover nuestros servicios.</w:t>
      </w:r>
    </w:p>
    <w:p w:rsidR="004708D8" w:rsidRDefault="004708D8" w:rsidP="004708D8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Todo esto con el fin de hacer transparente, congruente, eficiente, legal y justa la administración del Instituto para beneficio de los trabajadores, de la institución y del país.</w:t>
      </w:r>
    </w:p>
    <w:p w:rsidR="004708D8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sz w:val="22"/>
          <w:szCs w:val="22"/>
          <w:lang w:val="es-MX" w:eastAsia="es-MX"/>
        </w:rPr>
      </w:pPr>
    </w:p>
    <w:p w:rsidR="004708D8" w:rsidRPr="005D604D" w:rsidRDefault="004708D8" w:rsidP="004708D8">
      <w:pPr>
        <w:pStyle w:val="Texto"/>
        <w:spacing w:after="0" w:line="240" w:lineRule="auto"/>
        <w:ind w:firstLine="426"/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</w:pPr>
      <w:r w:rsidRPr="005D604D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Propuesta V</w:t>
      </w:r>
      <w:r w:rsidR="002A68E0">
        <w:rPr>
          <w:rFonts w:ascii="Calibri" w:eastAsiaTheme="minorHAnsi" w:hAnsi="Calibri" w:cs="Times New Roman"/>
          <w:b/>
          <w:i/>
          <w:sz w:val="22"/>
          <w:szCs w:val="22"/>
          <w:lang w:val="es-MX" w:eastAsia="es-MX"/>
        </w:rPr>
        <w:t>I</w:t>
      </w:r>
      <w:r w:rsidRPr="005D604D"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. </w:t>
      </w:r>
    </w:p>
    <w:p w:rsidR="004708D8" w:rsidRDefault="004708D8" w:rsidP="004708D8">
      <w:pPr>
        <w:spacing w:line="276" w:lineRule="auto"/>
        <w:jc w:val="both"/>
      </w:pPr>
      <w:r>
        <w:t xml:space="preserve">Esta propuesta está relacionada a garantizar un mejor desempeño del </w:t>
      </w:r>
      <w:proofErr w:type="spellStart"/>
      <w:r>
        <w:t>IMTA</w:t>
      </w:r>
      <w:proofErr w:type="spellEnd"/>
      <w:r>
        <w:t xml:space="preserve"> a nivel nacional</w:t>
      </w:r>
      <w:r w:rsidR="002A68E0">
        <w:t>, en particular a contrarrestar la</w:t>
      </w:r>
      <w:r>
        <w:t>:</w:t>
      </w:r>
    </w:p>
    <w:p w:rsidR="002A68E0" w:rsidRDefault="002A68E0" w:rsidP="004708D8">
      <w:pPr>
        <w:spacing w:line="276" w:lineRule="auto"/>
        <w:jc w:val="both"/>
      </w:pPr>
      <w:r w:rsidRPr="0007521C">
        <w:rPr>
          <w:rFonts w:asciiTheme="minorHAnsi" w:hAnsiTheme="minorHAnsi"/>
          <w:i/>
          <w:color w:val="333333"/>
        </w:rPr>
        <w:t>Debilidad y falta de organización, personal y presupuesto de las instituciones involucradas, desarrollar una nueva política nacional de investigación e innovación tecnológica (</w:t>
      </w:r>
      <w:proofErr w:type="spellStart"/>
      <w:r w:rsidRPr="0007521C">
        <w:rPr>
          <w:rFonts w:asciiTheme="minorHAnsi" w:hAnsiTheme="minorHAnsi"/>
          <w:i/>
          <w:color w:val="333333"/>
        </w:rPr>
        <w:t>SEMARNAT</w:t>
      </w:r>
      <w:proofErr w:type="spellEnd"/>
      <w:r w:rsidRPr="0007521C">
        <w:rPr>
          <w:rFonts w:asciiTheme="minorHAnsi" w:hAnsiTheme="minorHAnsi"/>
          <w:i/>
          <w:color w:val="333333"/>
        </w:rPr>
        <w:t xml:space="preserve"> y otras),</w:t>
      </w:r>
    </w:p>
    <w:p w:rsidR="004708D8" w:rsidRDefault="002A68E0" w:rsidP="00171C50">
      <w:pPr>
        <w:spacing w:line="276" w:lineRule="auto"/>
        <w:ind w:firstLine="426"/>
        <w:jc w:val="both"/>
      </w:pPr>
      <w:r>
        <w:lastRenderedPageBreak/>
        <w:t xml:space="preserve">El </w:t>
      </w:r>
      <w:proofErr w:type="spellStart"/>
      <w:r>
        <w:t>SITIMTA</w:t>
      </w:r>
      <w:proofErr w:type="spellEnd"/>
      <w:r>
        <w:t xml:space="preserve"> propone f</w:t>
      </w:r>
      <w:r w:rsidR="004708D8" w:rsidRPr="00CD0EBB">
        <w:t xml:space="preserve">ortalecer las líneas de investigación </w:t>
      </w:r>
      <w:r>
        <w:t>en previsión</w:t>
      </w:r>
      <w:r w:rsidR="004708D8" w:rsidRPr="00CD0EBB">
        <w:t xml:space="preserve"> del </w:t>
      </w:r>
      <w:r w:rsidR="004708D8">
        <w:t>“cambio generacional", acción vinculada al incremento presupuestal a ciencia y tecnología</w:t>
      </w:r>
      <w:r w:rsidR="00FE62EF">
        <w:t xml:space="preserve"> para formar investigadores </w:t>
      </w:r>
      <w:r>
        <w:t xml:space="preserve">nuevos </w:t>
      </w:r>
      <w:r w:rsidR="004708D8">
        <w:t xml:space="preserve">en la institución que reciban el conocimiento teórico y la experiencia acumulada de los investigadores actuales, de manera que desarrollen un potencial mayor de búsqueda y creatividad. </w:t>
      </w:r>
      <w:r>
        <w:t>Actualmente, se pierde 20 veces más dinero en corrupción (Casar, 2015)</w:t>
      </w:r>
      <w:r w:rsidRPr="002A68E0">
        <w:t xml:space="preserve"> </w:t>
      </w:r>
      <w:r>
        <w:t>que lo que se aplica en ciencia</w:t>
      </w:r>
      <w:r w:rsidR="00C8619A">
        <w:t>.</w:t>
      </w:r>
    </w:p>
    <w:p w:rsidR="004708D8" w:rsidRDefault="004708D8" w:rsidP="004708D8">
      <w:pPr>
        <w:spacing w:line="276" w:lineRule="auto"/>
        <w:ind w:firstLine="426"/>
        <w:jc w:val="both"/>
      </w:pPr>
      <w:r>
        <w:t>Los objetivos y métodos de las Ciencias Naturales, de las Ciencias Sociales y Humanísticas, y de las Ingenierías, son diferentes</w:t>
      </w:r>
      <w:r w:rsidR="00FE62EF">
        <w:t xml:space="preserve"> (Bernal, 1971)</w:t>
      </w:r>
      <w:r>
        <w:t xml:space="preserve">, por lo que el método para evaluar la eficacia de sus respectivos profesionales también debe serlo. En el </w:t>
      </w:r>
      <w:proofErr w:type="spellStart"/>
      <w:r>
        <w:t>IMTA</w:t>
      </w:r>
      <w:proofErr w:type="spellEnd"/>
      <w:r>
        <w:t>, en Ciencias Naturales, Sociales y Humanísticas se evalúa (o debería de evaluarse) el conocimiento generado y su presentación en forma de diagnóstico y/o pronóstico, y en las Ingenierías se evalúa la habilidad para seleccionar el conocimiento y aplicarlo para desarrollar o mejorar un proceso o una herramienta. Además, las ciencias sociales y humanidades interactúan con las demás para cubrir las funciones institucionales en materia de capacitación, formación y desarrollo humano e institucional, economía, comunicación y participación social. De esta interacción se derivaría el área de promoción y venta de servicios de la Propuesta III.</w:t>
      </w:r>
    </w:p>
    <w:p w:rsidR="004708D8" w:rsidRDefault="004708D8" w:rsidP="004708D8">
      <w:pPr>
        <w:spacing w:line="276" w:lineRule="auto"/>
        <w:ind w:firstLine="426"/>
        <w:jc w:val="both"/>
      </w:pPr>
      <w:r>
        <w:t>Las tareas específicas que realizan los diversos profesionistas que participan en el Instituto, deben tener sistemas de evaluación del desempeño adecuados a sus perfiles profesionales y a sus productos de trabajo, para evitar una evaluación que desmerezca el desempeño (como esperar patentes de un antropólogo, o diagnósticos socio-antropológicos de un físico), y así lograr una evaluación objetiva sobre una producción coherente, y una gratificación adecuada, generando un ambiente profesional, respetuoso, incluyente, legal, justo</w:t>
      </w:r>
      <w:r w:rsidRPr="00947E62">
        <w:t xml:space="preserve"> </w:t>
      </w:r>
      <w:r>
        <w:t xml:space="preserve">y propositivo, favorable para hacer del </w:t>
      </w:r>
      <w:proofErr w:type="spellStart"/>
      <w:r>
        <w:t>IMTA</w:t>
      </w:r>
      <w:proofErr w:type="spellEnd"/>
      <w:r>
        <w:t xml:space="preserve"> la institución de excelencia que se pretende.</w:t>
      </w:r>
    </w:p>
    <w:p w:rsidR="004708D8" w:rsidRDefault="004708D8" w:rsidP="004708D8">
      <w:pPr>
        <w:spacing w:line="276" w:lineRule="auto"/>
        <w:ind w:firstLine="426"/>
        <w:jc w:val="both"/>
      </w:pPr>
      <w:r>
        <w:t>Con este fin trabajan conjuntamente la Dirección General y el Sindicato a través de la Comisión Mixta d</w:t>
      </w:r>
      <w:r w:rsidRPr="0084092C">
        <w:t xml:space="preserve">e Ingreso, Promoción Evaluación, Estímulos, Desarrollo Profesional </w:t>
      </w:r>
      <w:r>
        <w:t>y</w:t>
      </w:r>
      <w:r w:rsidRPr="0084092C">
        <w:t xml:space="preserve"> Separación</w:t>
      </w:r>
      <w:r>
        <w:t>. Hasta el momento se está revisando y actualizando el Sistema Integral de Profesionalización del Instituto y se tienen algunos avances en los subsistemas de Ingreso y Evaluación y Estímulos. Algo se ha avanzado, pero aún falta mucho por recorrer.</w:t>
      </w:r>
    </w:p>
    <w:p w:rsidR="004708D8" w:rsidRDefault="004708D8" w:rsidP="004708D8">
      <w:pPr>
        <w:spacing w:line="276" w:lineRule="auto"/>
        <w:ind w:firstLine="426"/>
        <w:jc w:val="both"/>
      </w:pPr>
    </w:p>
    <w:p w:rsidR="004708D8" w:rsidRPr="007A7480" w:rsidRDefault="004708D8" w:rsidP="004708D8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</w:pPr>
      <w:r w:rsidRPr="007A7480"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Referencias 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D2417C">
        <w:rPr>
          <w:rFonts w:ascii="Calibri" w:eastAsiaTheme="minorHAnsi" w:hAnsi="Calibri" w:cs="Times New Roman"/>
          <w:sz w:val="22"/>
          <w:szCs w:val="22"/>
          <w:lang w:val="es-MX" w:eastAsia="es-MX"/>
        </w:rPr>
        <w:t>Acuerdo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por el que se difunde la modificación al Manual de Organización del Instituto Mexicano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d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 Tecnología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d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el Agua. Diario Oficial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d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l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a Federación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el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01-10-2014. Primera Sección.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Banderas, A. y R. González V., 2017. ¿Es sustentable el embalse de Valle de Bravo como fuente de abastecimiento? Ponencia XXIV Congreso Nacional de Hidráulica, 22  al 25 de marzo de 2017</w:t>
      </w:r>
      <w:r w:rsidR="005C4924">
        <w:rPr>
          <w:rFonts w:ascii="Calibri" w:eastAsiaTheme="minorHAnsi" w:hAnsi="Calibri" w:cs="Times New Roman"/>
          <w:sz w:val="22"/>
          <w:szCs w:val="22"/>
          <w:lang w:val="es-MX" w:eastAsia="es-MX"/>
        </w:rPr>
        <w:t>,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Acapulco, México. Disponible en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pdf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</w:p>
    <w:p w:rsidR="004708D8" w:rsidRPr="005A40B4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n-US" w:eastAsia="es-MX"/>
        </w:rPr>
      </w:pPr>
      <w:r w:rsidRPr="00FE62EF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Banderas, T.A. &amp; González Villela, R., 2018. </w:t>
      </w:r>
      <w:r w:rsidRPr="00FE62EF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The environmental added value of water: A Proposal.  </w:t>
      </w:r>
      <w:proofErr w:type="gramStart"/>
      <w:r w:rsidRPr="00FE62EF">
        <w:rPr>
          <w:rFonts w:ascii="Calibri" w:eastAsiaTheme="minorHAnsi" w:hAnsi="Calibri" w:cs="Times New Roman"/>
          <w:sz w:val="22"/>
          <w:szCs w:val="22"/>
          <w:lang w:val="en-US" w:eastAsia="es-MX"/>
        </w:rPr>
        <w:t>International Journal of Sus</w:t>
      </w:r>
      <w:r w:rsidRPr="005A40B4">
        <w:rPr>
          <w:rFonts w:ascii="Calibri" w:eastAsiaTheme="minorHAnsi" w:hAnsi="Calibri" w:cs="Times New Roman"/>
          <w:sz w:val="22"/>
          <w:szCs w:val="22"/>
          <w:lang w:val="en-US" w:eastAsia="es-MX"/>
        </w:rPr>
        <w:t>tainable Development and Planning, Vol. 13, No. 3: 406–417.</w:t>
      </w:r>
      <w:proofErr w:type="gramEnd"/>
      <w:r w:rsidRPr="005A40B4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</w:t>
      </w:r>
    </w:p>
    <w:p w:rsidR="004708D8" w:rsidRPr="00B47622" w:rsidRDefault="004708D8" w:rsidP="004708D8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proofErr w:type="gramStart"/>
      <w:r w:rsidRPr="00D2417C">
        <w:rPr>
          <w:rFonts w:ascii="Calibri" w:eastAsiaTheme="minorHAnsi" w:hAnsi="Calibri" w:cs="Times New Roman"/>
          <w:sz w:val="22"/>
          <w:szCs w:val="22"/>
          <w:lang w:val="en-US" w:eastAsia="es-MX"/>
        </w:rPr>
        <w:t>Bernal, J.</w:t>
      </w:r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</w:t>
      </w:r>
      <w:r w:rsidRPr="00D2417C">
        <w:rPr>
          <w:rFonts w:ascii="Calibri" w:eastAsiaTheme="minorHAnsi" w:hAnsi="Calibri" w:cs="Times New Roman"/>
          <w:sz w:val="22"/>
          <w:szCs w:val="22"/>
          <w:lang w:val="en-US" w:eastAsia="es-MX"/>
        </w:rPr>
        <w:t>D.,</w:t>
      </w:r>
      <w:r w:rsidRPr="004020AF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1971.</w:t>
      </w:r>
      <w:proofErr w:type="gramEnd"/>
      <w:r w:rsidRPr="004020AF">
        <w:rPr>
          <w:rFonts w:ascii="Calibri" w:eastAsiaTheme="minorHAnsi" w:hAnsi="Calibri" w:cs="Times New Roman"/>
          <w:b/>
          <w:sz w:val="22"/>
          <w:szCs w:val="22"/>
          <w:lang w:val="en-US" w:eastAsia="es-MX"/>
        </w:rPr>
        <w:t xml:space="preserve"> </w:t>
      </w:r>
      <w:r w:rsidRPr="003E4B5F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La Ciencia en la Historia. </w:t>
      </w:r>
      <w:hyperlink r:id="rId5" w:tooltip="MIT Press" w:history="1">
        <w:proofErr w:type="spellStart"/>
        <w:r w:rsidRPr="00B47622">
          <w:rPr>
            <w:rFonts w:ascii="Calibri" w:eastAsiaTheme="minorHAnsi" w:hAnsi="Calibri" w:cs="Times New Roman"/>
            <w:sz w:val="22"/>
            <w:szCs w:val="22"/>
            <w:lang w:val="es-MX" w:eastAsia="es-MX"/>
          </w:rPr>
          <w:t>MIT</w:t>
        </w:r>
        <w:proofErr w:type="spellEnd"/>
        <w:r w:rsidRPr="00B47622">
          <w:rPr>
            <w:rFonts w:ascii="Calibri" w:eastAsiaTheme="minorHAnsi" w:hAnsi="Calibri" w:cs="Times New Roman"/>
            <w:sz w:val="22"/>
            <w:szCs w:val="22"/>
            <w:lang w:val="es-MX" w:eastAsia="es-MX"/>
          </w:rPr>
          <w:t xml:space="preserve"> Press</w:t>
        </w:r>
      </w:hyperlink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. Cambridge, USA.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Casar, A., 2015. Anatomía de la corrupción en México (Boletín de Prensa). Perseo 28. UNAM.</w:t>
      </w:r>
    </w:p>
    <w:p w:rsidR="004708D8" w:rsidRDefault="004708D8" w:rsidP="004708D8">
      <w:pPr>
        <w:pStyle w:val="Texto"/>
        <w:spacing w:after="0" w:line="240" w:lineRule="auto"/>
        <w:ind w:left="284"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(</w:t>
      </w:r>
      <w:hyperlink r:id="rId6" w:history="1">
        <w:r w:rsidRPr="00B56E0B">
          <w:rPr>
            <w:rStyle w:val="Hipervnculo"/>
            <w:rFonts w:ascii="Calibri" w:eastAsiaTheme="minorHAnsi" w:hAnsi="Calibri" w:cs="Times New Roman"/>
            <w:sz w:val="22"/>
            <w:szCs w:val="22"/>
            <w:lang w:val="es-MX" w:eastAsia="es-MX"/>
          </w:rPr>
          <w:t>http://www.pudh.unam.mx/perseo/category/la-corrupcion-en-mexico/</w:t>
        </w:r>
      </w:hyperlink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). Consultado: 01/08/2018.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CONAGUA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, 2016. Estadísticas del Agua en México. Secretaria del Medio Ambiente y Recursos Naturales. (</w:t>
      </w:r>
      <w:hyperlink r:id="rId7" w:history="1">
        <w:r w:rsidRPr="00B56E0B">
          <w:rPr>
            <w:rStyle w:val="Hipervnculo"/>
            <w:rFonts w:ascii="Calibri" w:eastAsiaTheme="minorHAnsi" w:hAnsi="Calibri" w:cs="Times New Roman"/>
            <w:sz w:val="22"/>
            <w:szCs w:val="22"/>
            <w:lang w:val="es-MX" w:eastAsia="es-MX"/>
          </w:rPr>
          <w:t>http://201.116.60.25/publicaciones/eam_2016.pdf</w:t>
        </w:r>
      </w:hyperlink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). Consultado 30/07/2018.</w:t>
      </w:r>
    </w:p>
    <w:p w:rsidR="004708D8" w:rsidRDefault="00F976BC" w:rsidP="004708D8">
      <w:pPr>
        <w:pStyle w:val="Texto"/>
        <w:spacing w:after="0" w:line="240" w:lineRule="auto"/>
        <w:ind w:firstLine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hyperlink r:id="rId8" w:history="1">
        <w:r w:rsidR="004708D8" w:rsidRPr="0041257C">
          <w:rPr>
            <w:rStyle w:val="Hipervnculo"/>
            <w:rFonts w:ascii="Calibri" w:eastAsiaTheme="minorHAnsi" w:hAnsi="Calibri" w:cs="Times New Roman"/>
            <w:sz w:val="22"/>
            <w:szCs w:val="22"/>
            <w:lang w:val="es-MX" w:eastAsia="es-MX"/>
          </w:rPr>
          <w:t>http://files.conagua.gob.mx/transparencia/PNH2014-2018.pdf</w:t>
        </w:r>
      </w:hyperlink>
      <w:r w:rsidR="004708D8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. 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lastRenderedPageBreak/>
        <w:t>Comisión de Agua Potable y Saneamiento.</w:t>
      </w:r>
      <w:r w:rsidRPr="00F9717C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Sistema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d</w:t>
      </w:r>
      <w:r w:rsidRPr="00F9717C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 Colaboración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y</w:t>
      </w:r>
      <w:r w:rsidRPr="00F9717C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Consulta para la Propuesta del Articulado de la Nueva Ley General de Aguas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.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LXIII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Legislatura. Consultado 12/07/2018.</w:t>
      </w:r>
    </w:p>
    <w:p w:rsidR="004708D8" w:rsidRDefault="004708D8" w:rsidP="004708D8">
      <w:pPr>
        <w:pStyle w:val="Texto"/>
        <w:spacing w:after="0" w:line="240" w:lineRule="auto"/>
        <w:ind w:left="284"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610E7F">
        <w:rPr>
          <w:rFonts w:ascii="Calibri" w:eastAsiaTheme="minorHAnsi" w:hAnsi="Calibri" w:cs="Times New Roman"/>
          <w:sz w:val="22"/>
          <w:szCs w:val="22"/>
          <w:lang w:val="es-MX" w:eastAsia="es-MX"/>
        </w:rPr>
        <w:t>LGAhttp://www5.diputados.gob.mx/index.php/camara/Sistema-de-colaboracion-y-consulta-para-la-propuesta-del-articulado-LGA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</w:p>
    <w:p w:rsidR="004708D8" w:rsidRPr="00DE5551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D2417C">
        <w:rPr>
          <w:rFonts w:ascii="Calibri" w:eastAsiaTheme="minorHAnsi" w:hAnsi="Calibri" w:cs="Times New Roman"/>
          <w:sz w:val="22"/>
          <w:szCs w:val="22"/>
          <w:lang w:val="es-MX" w:eastAsia="es-MX"/>
        </w:rPr>
        <w:t>Constitución Política de Los Estados Unidos Mexicanos</w:t>
      </w:r>
      <w:r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. </w:t>
      </w:r>
      <w:r w:rsidRPr="00DE5551">
        <w:rPr>
          <w:rFonts w:ascii="Calibri" w:eastAsiaTheme="minorHAnsi" w:hAnsi="Calibri" w:cs="Times New Roman"/>
          <w:sz w:val="22"/>
          <w:szCs w:val="22"/>
          <w:lang w:val="es-MX" w:eastAsia="es-MX"/>
        </w:rPr>
        <w:t>Artículo 4.</w:t>
      </w:r>
      <w:r w:rsidRPr="00DE5551">
        <w:rPr>
          <w:rFonts w:eastAsia="+mj-ea"/>
          <w:lang w:val="es-MX"/>
        </w:rPr>
        <w:t xml:space="preserve"> </w:t>
      </w:r>
      <w:r>
        <w:rPr>
          <w:rFonts w:eastAsia="+mj-ea"/>
          <w:lang w:val="es-MX"/>
        </w:rPr>
        <w:t xml:space="preserve">Publicado en el </w:t>
      </w:r>
      <w:r w:rsidRPr="009516F2">
        <w:rPr>
          <w:rFonts w:eastAsia="+mj-ea"/>
          <w:lang w:val="es-MX"/>
        </w:rPr>
        <w:t>D</w:t>
      </w:r>
      <w:r>
        <w:rPr>
          <w:rFonts w:eastAsia="+mj-ea"/>
          <w:lang w:val="es-MX"/>
        </w:rPr>
        <w:t xml:space="preserve">iario </w:t>
      </w:r>
      <w:r w:rsidRPr="009516F2">
        <w:rPr>
          <w:rFonts w:eastAsia="+mj-ea"/>
          <w:lang w:val="es-MX"/>
        </w:rPr>
        <w:t>O</w:t>
      </w:r>
      <w:r>
        <w:rPr>
          <w:rFonts w:eastAsia="+mj-ea"/>
          <w:lang w:val="es-MX"/>
        </w:rPr>
        <w:t xml:space="preserve">ficial de la </w:t>
      </w:r>
      <w:r w:rsidRPr="009516F2">
        <w:rPr>
          <w:rFonts w:eastAsia="+mj-ea"/>
          <w:lang w:val="es-MX"/>
        </w:rPr>
        <w:t>F</w:t>
      </w:r>
      <w:r>
        <w:rPr>
          <w:rFonts w:eastAsia="+mj-ea"/>
          <w:lang w:val="es-MX"/>
        </w:rPr>
        <w:t xml:space="preserve">ederación el </w:t>
      </w:r>
      <w:r w:rsidRPr="009516F2">
        <w:rPr>
          <w:rFonts w:eastAsia="+mj-ea"/>
          <w:lang w:val="es-MX"/>
        </w:rPr>
        <w:t>08</w:t>
      </w:r>
      <w:r>
        <w:rPr>
          <w:rFonts w:eastAsia="+mj-ea"/>
          <w:lang w:val="es-MX"/>
        </w:rPr>
        <w:t>/</w:t>
      </w:r>
      <w:r w:rsidRPr="009516F2">
        <w:rPr>
          <w:rFonts w:eastAsia="+mj-ea"/>
          <w:lang w:val="es-MX"/>
        </w:rPr>
        <w:t>02</w:t>
      </w:r>
      <w:r>
        <w:rPr>
          <w:rFonts w:eastAsia="+mj-ea"/>
          <w:lang w:val="es-MX"/>
        </w:rPr>
        <w:t>/</w:t>
      </w:r>
      <w:r w:rsidRPr="009516F2">
        <w:rPr>
          <w:rFonts w:eastAsia="+mj-ea"/>
          <w:lang w:val="es-MX"/>
        </w:rPr>
        <w:t>2012</w:t>
      </w:r>
      <w:r>
        <w:rPr>
          <w:rFonts w:eastAsia="+mj-ea"/>
          <w:lang w:val="es-MX"/>
        </w:rPr>
        <w:t>.</w:t>
      </w:r>
    </w:p>
    <w:p w:rsidR="004708D8" w:rsidRDefault="004708D8" w:rsidP="004708D8">
      <w:pPr>
        <w:pStyle w:val="Texto"/>
        <w:spacing w:after="0" w:line="240" w:lineRule="auto"/>
        <w:ind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D2417C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Contrato Colectivo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d</w:t>
      </w:r>
      <w:r w:rsidRPr="00D2417C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 Trabajo </w:t>
      </w:r>
      <w:proofErr w:type="spellStart"/>
      <w:r w:rsidRPr="00D2417C">
        <w:rPr>
          <w:rFonts w:ascii="Calibri" w:eastAsiaTheme="minorHAnsi" w:hAnsi="Calibri" w:cs="Times New Roman"/>
          <w:sz w:val="22"/>
          <w:szCs w:val="22"/>
          <w:lang w:val="es-MX" w:eastAsia="es-MX"/>
        </w:rPr>
        <w:t>IMTA-SITIMTA</w:t>
      </w:r>
      <w:proofErr w:type="spellEnd"/>
      <w:r w:rsidRPr="00D2417C"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Disponible en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pdf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González-Villela, R. y A. Banderas, 2016. </w:t>
      </w:r>
      <w:r w:rsidRPr="009760B3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Metodologías para el cálculo de caudales ecológicos y ambientales en ríos regulados por presas. Instituto Mexicano de Tecnología del Agua. Coordinación de Calidad del Agua. </w:t>
      </w:r>
      <w:proofErr w:type="spellStart"/>
      <w:r w:rsidRPr="009760B3">
        <w:rPr>
          <w:rFonts w:ascii="Calibri" w:eastAsiaTheme="minorHAnsi" w:hAnsi="Calibri" w:cs="Times New Roman"/>
          <w:sz w:val="22"/>
          <w:szCs w:val="22"/>
          <w:lang w:val="es-MX" w:eastAsia="es-MX"/>
        </w:rPr>
        <w:t>Subcoordinación</w:t>
      </w:r>
      <w:proofErr w:type="spellEnd"/>
      <w:r w:rsidRPr="009760B3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de Hidrobiología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y Evaluación Ambiental.</w:t>
      </w:r>
    </w:p>
    <w:p w:rsidR="004708D8" w:rsidRDefault="004708D8" w:rsidP="004708D8">
      <w:pPr>
        <w:pStyle w:val="Texto"/>
        <w:spacing w:after="0" w:line="240" w:lineRule="auto"/>
        <w:ind w:left="284"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9760B3">
        <w:rPr>
          <w:rFonts w:ascii="Calibri" w:eastAsiaTheme="minorHAnsi" w:hAnsi="Calibri" w:cs="Times New Roman"/>
          <w:sz w:val="22"/>
          <w:szCs w:val="22"/>
          <w:lang w:val="es-MX" w:eastAsia="es-MX"/>
        </w:rPr>
        <w:t>(</w:t>
      </w:r>
      <w:hyperlink r:id="rId9" w:history="1">
        <w:r w:rsidRPr="009760B3">
          <w:rPr>
            <w:rFonts w:ascii="Calibri" w:eastAsiaTheme="minorHAnsi" w:hAnsi="Calibri" w:cs="Times New Roman"/>
            <w:sz w:val="22"/>
            <w:szCs w:val="22"/>
            <w:lang w:val="es-MX" w:eastAsia="es-MX"/>
          </w:rPr>
          <w:t>http://www.imta.gob.mx/biblioteca-digital</w:t>
        </w:r>
      </w:hyperlink>
      <w:r w:rsidRPr="009760B3">
        <w:rPr>
          <w:rFonts w:ascii="Calibri" w:eastAsiaTheme="minorHAnsi" w:hAnsi="Calibri" w:cs="Times New Roman"/>
          <w:sz w:val="22"/>
          <w:szCs w:val="22"/>
          <w:lang w:val="es-MX" w:eastAsia="es-MX"/>
        </w:rPr>
        <w:t>).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Instituto Mexicano de Tecnología del Agua.</w:t>
      </w:r>
      <w:r w:rsidRPr="00D2417C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Estatuto Orgánico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. Publicado en el Diario Oficial de la Federación el 13/04/2007.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E84B13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Instituto Mexicano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d</w:t>
      </w:r>
      <w:r w:rsidRPr="00E84B13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e Tecnología del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Agua. </w:t>
      </w:r>
      <w:r w:rsidRPr="00E84B13">
        <w:rPr>
          <w:rFonts w:ascii="Calibri" w:eastAsiaTheme="minorHAnsi" w:hAnsi="Calibri" w:cs="Times New Roman"/>
          <w:sz w:val="22"/>
          <w:szCs w:val="22"/>
          <w:lang w:val="es-MX" w:eastAsia="es-MX"/>
        </w:rPr>
        <w:t>Programa Institucional 2014-2018.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Diario Oficial 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de la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F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ederación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(Tercera Sección)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Martes 29 de abril de 2014.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 w:rsidRPr="00E84B13">
        <w:rPr>
          <w:rFonts w:ascii="Calibri" w:eastAsiaTheme="minorHAnsi" w:hAnsi="Calibri" w:cs="Times New Roman"/>
          <w:sz w:val="22"/>
          <w:szCs w:val="22"/>
          <w:lang w:val="es-MX" w:eastAsia="es-MX"/>
        </w:rPr>
        <w:t>Ley De Aguas Nacionales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.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Nueva Ley publicada en el Diario Oficial de la Federación el 1º de diciembre de 1992. Texto Vigente. Última reforma publicada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en el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D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iario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O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ficial de la 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>F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ederación el</w:t>
      </w:r>
      <w:r w:rsidRPr="006C2CC7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11-08-2014.</w:t>
      </w:r>
    </w:p>
    <w:p w:rsidR="004708D8" w:rsidRPr="00580DE0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n-US" w:eastAsia="es-MX"/>
        </w:rPr>
      </w:pPr>
      <w:proofErr w:type="spellStart"/>
      <w:proofErr w:type="gramStart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>Lobina</w:t>
      </w:r>
      <w:proofErr w:type="spellEnd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, E., S. </w:t>
      </w:r>
      <w:proofErr w:type="spellStart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>Kishimoto</w:t>
      </w:r>
      <w:proofErr w:type="spellEnd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&amp; O.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>Petitjean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>, 2014.</w:t>
      </w:r>
      <w:proofErr w:type="gramEnd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Here to stay. </w:t>
      </w:r>
      <w:proofErr w:type="gramStart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Water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>remunicipalisation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as a global trend.</w:t>
      </w:r>
      <w:proofErr w:type="gramEnd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</w:t>
      </w:r>
      <w:proofErr w:type="gramStart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Public Services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>Internatioal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Research.</w:t>
      </w:r>
      <w:proofErr w:type="gramEnd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</w:t>
      </w:r>
      <w:proofErr w:type="gramStart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>Transnational Institute and Multinational Observatory.</w:t>
      </w:r>
      <w:proofErr w:type="gramEnd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(</w:t>
      </w:r>
      <w:hyperlink r:id="rId10" w:history="1">
        <w:r w:rsidRPr="00FF3FDA">
          <w:rPr>
            <w:rStyle w:val="Hipervnculo"/>
            <w:rFonts w:ascii="Calibri" w:eastAsiaTheme="minorHAnsi" w:hAnsi="Calibri" w:cs="Times New Roman"/>
            <w:sz w:val="22"/>
            <w:szCs w:val="22"/>
            <w:lang w:val="en-US" w:eastAsia="es-MX"/>
          </w:rPr>
          <w:t>https://drive.google.com/file/d/0B45UaoY4FoDLbzhPSGppbUdXZ2NsOWJLVUpWSEhWeWFBMkhV/view</w:t>
        </w:r>
      </w:hyperlink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). </w:t>
      </w:r>
      <w:proofErr w:type="spellStart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>Consultado</w:t>
      </w:r>
      <w:proofErr w:type="spellEnd"/>
      <w:r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10/01/2018.</w:t>
      </w:r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n-US" w:eastAsia="es-MX"/>
        </w:rPr>
      </w:pPr>
      <w:proofErr w:type="spellStart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>Pianka</w:t>
      </w:r>
      <w:proofErr w:type="spellEnd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, E. R. 1974. </w:t>
      </w:r>
      <w:proofErr w:type="gramStart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>Evolutionary Ecology.</w:t>
      </w:r>
      <w:proofErr w:type="gramEnd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</w:t>
      </w:r>
      <w:proofErr w:type="gramStart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>First Edition.</w:t>
      </w:r>
      <w:proofErr w:type="gramEnd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</w:t>
      </w:r>
      <w:proofErr w:type="gramStart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>Harper and Row, New York.</w:t>
      </w:r>
      <w:proofErr w:type="gramEnd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</w:t>
      </w:r>
      <w:proofErr w:type="gramStart"/>
      <w:r w:rsidRPr="00580DE0">
        <w:rPr>
          <w:rFonts w:ascii="Calibri" w:eastAsiaTheme="minorHAnsi" w:hAnsi="Calibri" w:cs="Times New Roman"/>
          <w:sz w:val="22"/>
          <w:szCs w:val="22"/>
          <w:lang w:val="en-US" w:eastAsia="es-MX"/>
        </w:rPr>
        <w:t>356 pp.</w:t>
      </w:r>
      <w:proofErr w:type="gramEnd"/>
    </w:p>
    <w:p w:rsidR="004708D8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proofErr w:type="spellStart"/>
      <w:r w:rsidRPr="002372A1">
        <w:rPr>
          <w:rFonts w:ascii="Calibri" w:eastAsiaTheme="minorHAnsi" w:hAnsi="Calibri" w:cs="Times New Roman"/>
          <w:sz w:val="22"/>
          <w:szCs w:val="22"/>
          <w:lang w:val="en-US" w:eastAsia="es-MX"/>
        </w:rPr>
        <w:t>PNH</w:t>
      </w:r>
      <w:proofErr w:type="spellEnd"/>
      <w:r w:rsidRPr="002372A1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, 2014-2018. </w:t>
      </w:r>
      <w:proofErr w:type="spellStart"/>
      <w:proofErr w:type="gramStart"/>
      <w:r w:rsidRPr="002372A1">
        <w:rPr>
          <w:rFonts w:ascii="Calibri" w:eastAsiaTheme="minorHAnsi" w:hAnsi="Calibri" w:cs="Times New Roman"/>
          <w:sz w:val="22"/>
          <w:szCs w:val="22"/>
          <w:lang w:val="en-US" w:eastAsia="es-MX"/>
        </w:rPr>
        <w:t>Programa</w:t>
      </w:r>
      <w:proofErr w:type="spellEnd"/>
      <w:r w:rsidRPr="002372A1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</w:t>
      </w:r>
      <w:proofErr w:type="spellStart"/>
      <w:r w:rsidRPr="002372A1">
        <w:rPr>
          <w:rFonts w:ascii="Calibri" w:eastAsiaTheme="minorHAnsi" w:hAnsi="Calibri" w:cs="Times New Roman"/>
          <w:sz w:val="22"/>
          <w:szCs w:val="22"/>
          <w:lang w:val="en-US" w:eastAsia="es-MX"/>
        </w:rPr>
        <w:t>Nacional</w:t>
      </w:r>
      <w:proofErr w:type="spellEnd"/>
      <w:r w:rsidRPr="002372A1">
        <w:rPr>
          <w:rFonts w:ascii="Calibri" w:eastAsiaTheme="minorHAnsi" w:hAnsi="Calibri" w:cs="Times New Roman"/>
          <w:sz w:val="22"/>
          <w:szCs w:val="22"/>
          <w:lang w:val="en-US" w:eastAsia="es-MX"/>
        </w:rPr>
        <w:t xml:space="preserve"> H</w:t>
      </w:r>
      <w:proofErr w:type="spellStart"/>
      <w:r w:rsidRPr="00F9717C">
        <w:rPr>
          <w:rFonts w:ascii="Calibri" w:eastAsiaTheme="minorHAnsi" w:hAnsi="Calibri" w:cs="Times New Roman"/>
          <w:sz w:val="22"/>
          <w:szCs w:val="22"/>
          <w:lang w:val="es-MX" w:eastAsia="es-MX"/>
        </w:rPr>
        <w:t>ídrico</w:t>
      </w:r>
      <w:proofErr w:type="spellEnd"/>
      <w:r w:rsidRPr="00F9717C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2014-2018.</w:t>
      </w:r>
      <w:proofErr w:type="gramEnd"/>
      <w:r>
        <w:rPr>
          <w:rFonts w:ascii="Calibri" w:eastAsiaTheme="minorHAnsi" w:hAnsi="Calibri" w:cs="Times New Roman"/>
          <w:b/>
          <w:sz w:val="22"/>
          <w:szCs w:val="22"/>
          <w:lang w:val="es-MX" w:eastAsia="es-MX"/>
        </w:rPr>
        <w:t xml:space="preserve"> </w:t>
      </w:r>
      <w:r w:rsidRPr="0044588B">
        <w:rPr>
          <w:rFonts w:ascii="Calibri" w:eastAsiaTheme="minorHAnsi" w:hAnsi="Calibri" w:cs="Times New Roman"/>
          <w:sz w:val="22"/>
          <w:szCs w:val="22"/>
          <w:lang w:val="es-MX" w:eastAsia="es-MX"/>
        </w:rPr>
        <w:t>Comisión Nacional del Agua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  <w:r w:rsidRPr="00F9717C">
        <w:rPr>
          <w:rFonts w:ascii="Calibri" w:eastAsiaTheme="minorHAnsi" w:hAnsi="Calibri" w:cs="Times New Roman"/>
          <w:sz w:val="22"/>
          <w:szCs w:val="22"/>
          <w:lang w:val="es-MX" w:eastAsia="es-MX"/>
        </w:rPr>
        <w:t xml:space="preserve"> </w:t>
      </w:r>
      <w:r w:rsidRPr="0044588B">
        <w:rPr>
          <w:rFonts w:ascii="Calibri" w:eastAsiaTheme="minorHAnsi" w:hAnsi="Calibri" w:cs="Times New Roman"/>
          <w:sz w:val="22"/>
          <w:szCs w:val="22"/>
          <w:lang w:val="es-MX" w:eastAsia="es-MX"/>
        </w:rPr>
        <w:t>Secretaría de Medio Ambiente y Recursos Naturales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.</w:t>
      </w:r>
    </w:p>
    <w:p w:rsidR="004708D8" w:rsidRDefault="004708D8" w:rsidP="004708D8">
      <w:pPr>
        <w:pStyle w:val="Texto"/>
        <w:spacing w:after="0" w:line="240" w:lineRule="auto"/>
        <w:ind w:left="284" w:firstLine="0"/>
        <w:rPr>
          <w:rFonts w:ascii="Calibri" w:eastAsiaTheme="minorHAnsi" w:hAnsi="Calibri" w:cs="Times New Roman"/>
          <w:sz w:val="22"/>
          <w:szCs w:val="22"/>
          <w:lang w:val="es-MX" w:eastAsia="es-MX"/>
        </w:rPr>
      </w:pP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(</w:t>
      </w:r>
      <w:r w:rsidRPr="00DB4D82">
        <w:rPr>
          <w:rFonts w:ascii="Calibri" w:eastAsiaTheme="minorHAnsi" w:hAnsi="Calibri" w:cs="Times New Roman"/>
          <w:sz w:val="22"/>
          <w:szCs w:val="22"/>
          <w:lang w:val="es-MX" w:eastAsia="es-MX"/>
        </w:rPr>
        <w:t>http://www.conagua.gob.mx/CONAGUA07/Contenido/Documentos/PROGRAMA_Nacional_Hidrico_2014_2018_espa%C3%B1ol.pdf</w:t>
      </w:r>
      <w:r>
        <w:rPr>
          <w:rFonts w:ascii="Calibri" w:eastAsiaTheme="minorHAnsi" w:hAnsi="Calibri" w:cs="Times New Roman"/>
          <w:sz w:val="22"/>
          <w:szCs w:val="22"/>
          <w:lang w:val="es-MX" w:eastAsia="es-MX"/>
        </w:rPr>
        <w:t>). Consultado 12/07/2018.</w:t>
      </w:r>
    </w:p>
    <w:p w:rsidR="004708D8" w:rsidRPr="00DB4D82" w:rsidRDefault="004708D8" w:rsidP="004708D8">
      <w:pPr>
        <w:pStyle w:val="Texto"/>
        <w:spacing w:after="0" w:line="240" w:lineRule="auto"/>
        <w:ind w:left="284" w:hanging="284"/>
        <w:rPr>
          <w:rFonts w:ascii="Calibri" w:eastAsiaTheme="minorHAnsi" w:hAnsi="Calibri" w:cs="Times New Roman"/>
          <w:sz w:val="22"/>
          <w:szCs w:val="22"/>
          <w:lang w:val="es-MX" w:eastAsia="es-MX"/>
        </w:rPr>
      </w:pPr>
    </w:p>
    <w:p w:rsidR="00FB4B3D" w:rsidRDefault="00FB4B3D"/>
    <w:sectPr w:rsidR="00FB4B3D" w:rsidSect="00FB4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366"/>
    <w:multiLevelType w:val="hybridMultilevel"/>
    <w:tmpl w:val="73C26AE6"/>
    <w:lvl w:ilvl="0" w:tplc="F89AE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708D8"/>
    <w:rsid w:val="00054BA3"/>
    <w:rsid w:val="00171C50"/>
    <w:rsid w:val="002372A1"/>
    <w:rsid w:val="002832F2"/>
    <w:rsid w:val="002A68E0"/>
    <w:rsid w:val="003E31AA"/>
    <w:rsid w:val="004708D8"/>
    <w:rsid w:val="005C4924"/>
    <w:rsid w:val="006F639C"/>
    <w:rsid w:val="007A5730"/>
    <w:rsid w:val="00A7528D"/>
    <w:rsid w:val="00AD145F"/>
    <w:rsid w:val="00BE009A"/>
    <w:rsid w:val="00C8619A"/>
    <w:rsid w:val="00D341AD"/>
    <w:rsid w:val="00F976BC"/>
    <w:rsid w:val="00FB4B3D"/>
    <w:rsid w:val="00FE62EF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D8"/>
    <w:pPr>
      <w:spacing w:after="0"/>
    </w:pPr>
    <w:rPr>
      <w:rFonts w:ascii="Calibri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708D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708D8"/>
    <w:pPr>
      <w:ind w:left="720"/>
      <w:contextualSpacing/>
    </w:pPr>
  </w:style>
  <w:style w:type="character" w:customStyle="1" w:styleId="TextoCar">
    <w:name w:val="Texto Car"/>
    <w:link w:val="Texto"/>
    <w:locked/>
    <w:rsid w:val="004708D8"/>
    <w:rPr>
      <w:rFonts w:ascii="Arial" w:eastAsia="Times New Roman" w:hAnsi="Arial" w:cs="Arial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08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08D8"/>
    <w:pPr>
      <w:spacing w:before="100" w:beforeAutospacing="1" w:after="100" w:afterAutospacing="1"/>
    </w:pPr>
    <w:rPr>
      <w:rFonts w:ascii="Times New Roman" w:eastAsia="Times New Roman" w:hAnsi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conagua.gob.mx/transparencia/PNH2014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.116.60.25/publicaciones/eam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dh.unam.mx/perseo/category/la-corrupcion-en-mexic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MIT_Press" TargetMode="External"/><Relationship Id="rId10" Type="http://schemas.openxmlformats.org/officeDocument/2006/relationships/hyperlink" Target="https://drive.google.com/file/d/0B45UaoY4FoDLbzhPSGppbUdXZ2NsOWJLVUpWSEhWeWFBMkhV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ta.gob.mx/biblioteca-digi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2700</Words>
  <Characters>14851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2018-09-03T16:38:00Z</dcterms:created>
  <dcterms:modified xsi:type="dcterms:W3CDTF">2018-09-03T17:45:00Z</dcterms:modified>
</cp:coreProperties>
</file>