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C8" w:rsidRPr="008431E8" w:rsidRDefault="008431E8">
      <w:pPr>
        <w:rPr>
          <w:rFonts w:ascii="Arial" w:hAnsi="Arial" w:cs="Arial"/>
          <w:sz w:val="24"/>
          <w:szCs w:val="24"/>
        </w:rPr>
      </w:pPr>
      <w:r w:rsidRPr="008431E8">
        <w:rPr>
          <w:rFonts w:ascii="Arial" w:hAnsi="Arial" w:cs="Arial"/>
          <w:sz w:val="24"/>
          <w:szCs w:val="24"/>
        </w:rPr>
        <w:t>Problemática en la interpretación de la Ley</w:t>
      </w:r>
    </w:p>
    <w:p w:rsidR="008431E8" w:rsidRPr="008431E8" w:rsidRDefault="008431E8" w:rsidP="008431E8">
      <w:pPr>
        <w:pStyle w:val="Prrafodelista"/>
        <w:spacing w:after="48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8431E8" w:rsidRPr="008431E8" w:rsidRDefault="00CC6144" w:rsidP="008431E8">
      <w:pPr>
        <w:pStyle w:val="Prrafodelista"/>
        <w:numPr>
          <w:ilvl w:val="0"/>
          <w:numId w:val="1"/>
        </w:numPr>
        <w:spacing w:after="48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es-CO"/>
        </w:rPr>
        <w:t>S</w:t>
      </w:r>
      <w:r w:rsidR="008431E8">
        <w:rPr>
          <w:rFonts w:ascii="Arial" w:hAnsi="Arial" w:cs="Arial"/>
          <w:bCs/>
          <w:sz w:val="24"/>
          <w:szCs w:val="24"/>
          <w:lang w:val="es-CO"/>
        </w:rPr>
        <w:t>e consolida</w:t>
      </w:r>
      <w:r w:rsidR="008431E8" w:rsidRPr="008431E8">
        <w:rPr>
          <w:rFonts w:ascii="Arial" w:hAnsi="Arial" w:cs="Arial"/>
          <w:bCs/>
          <w:sz w:val="24"/>
          <w:szCs w:val="24"/>
          <w:lang w:val="es-CO"/>
        </w:rPr>
        <w:t xml:space="preserve"> el 8 de febrero de 2012,</w:t>
      </w:r>
      <w:r w:rsidR="008431E8">
        <w:rPr>
          <w:rFonts w:ascii="Arial" w:hAnsi="Arial" w:cs="Arial"/>
          <w:bCs/>
          <w:sz w:val="24"/>
          <w:szCs w:val="24"/>
          <w:lang w:val="es-CO"/>
        </w:rPr>
        <w:t xml:space="preserve"> en el</w:t>
      </w:r>
      <w:r w:rsidR="008431E8" w:rsidRPr="008431E8">
        <w:rPr>
          <w:rFonts w:ascii="Arial" w:hAnsi="Arial" w:cs="Arial"/>
          <w:bCs/>
          <w:sz w:val="24"/>
          <w:szCs w:val="24"/>
          <w:lang w:val="es-CO"/>
        </w:rPr>
        <w:t xml:space="preserve"> artículo 4º constitucional</w:t>
      </w:r>
      <w:r>
        <w:rPr>
          <w:rFonts w:ascii="Arial" w:hAnsi="Arial" w:cs="Arial"/>
          <w:bCs/>
          <w:sz w:val="24"/>
          <w:szCs w:val="24"/>
          <w:lang w:val="es-CO"/>
        </w:rPr>
        <w:t xml:space="preserve"> el derecho al agua</w:t>
      </w:r>
      <w:r w:rsidR="008431E8">
        <w:rPr>
          <w:rFonts w:ascii="Arial" w:hAnsi="Arial" w:cs="Arial"/>
          <w:bCs/>
          <w:sz w:val="24"/>
          <w:szCs w:val="24"/>
          <w:lang w:val="es-CO"/>
        </w:rPr>
        <w:t xml:space="preserve">: </w:t>
      </w:r>
      <w:r w:rsidR="008431E8" w:rsidRPr="008431E8">
        <w:rPr>
          <w:rFonts w:ascii="Arial" w:hAnsi="Arial" w:cs="Arial"/>
          <w:bCs/>
          <w:sz w:val="24"/>
          <w:szCs w:val="24"/>
          <w:lang w:val="es-CO"/>
        </w:rPr>
        <w:t xml:space="preserve">Toda persona tiene derecho al acceso, disposición y saneamiento de </w:t>
      </w:r>
      <w:r w:rsidR="008431E8" w:rsidRPr="00CC6144">
        <w:rPr>
          <w:rFonts w:ascii="Arial" w:hAnsi="Arial" w:cs="Arial"/>
          <w:bCs/>
          <w:sz w:val="24"/>
          <w:szCs w:val="24"/>
          <w:lang w:val="es-CO"/>
        </w:rPr>
        <w:t>agua para consumo personal y doméstico en forma suficiente, salubre, aceptable y asequible</w:t>
      </w:r>
      <w:r>
        <w:rPr>
          <w:rFonts w:ascii="Arial" w:hAnsi="Arial" w:cs="Arial"/>
          <w:bCs/>
          <w:sz w:val="24"/>
          <w:szCs w:val="24"/>
          <w:lang w:val="es-CO"/>
        </w:rPr>
        <w:t>, pero no se hace mención del acceso al saneamiento.</w:t>
      </w:r>
    </w:p>
    <w:p w:rsidR="008431E8" w:rsidRPr="008431E8" w:rsidRDefault="008431E8" w:rsidP="008431E8">
      <w:pPr>
        <w:pStyle w:val="Prrafodelista"/>
        <w:rPr>
          <w:rFonts w:ascii="Arial" w:hAnsi="Arial" w:cs="Arial"/>
          <w:sz w:val="24"/>
          <w:szCs w:val="24"/>
        </w:rPr>
      </w:pPr>
    </w:p>
    <w:p w:rsidR="0034543D" w:rsidRPr="0034543D" w:rsidRDefault="0034543D" w:rsidP="004E115E">
      <w:pPr>
        <w:pStyle w:val="Prrafodelista"/>
        <w:numPr>
          <w:ilvl w:val="0"/>
          <w:numId w:val="1"/>
        </w:numPr>
        <w:spacing w:after="48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4543D">
        <w:rPr>
          <w:rFonts w:ascii="Arial" w:hAnsi="Arial" w:cs="Arial"/>
          <w:bCs/>
          <w:sz w:val="24"/>
          <w:szCs w:val="24"/>
        </w:rPr>
        <w:t>La recaudación obtenida por las entidades federativas y municipios por las tarifas, aprovechamientos o contribuciones por servicios relacionados a los usuarios finales</w:t>
      </w:r>
      <w:r w:rsidR="00CC6144">
        <w:rPr>
          <w:rFonts w:ascii="Arial" w:hAnsi="Arial" w:cs="Arial"/>
          <w:bCs/>
          <w:sz w:val="24"/>
          <w:szCs w:val="24"/>
        </w:rPr>
        <w:t>,</w:t>
      </w:r>
      <w:r w:rsidRPr="0034543D">
        <w:rPr>
          <w:rFonts w:ascii="Arial" w:hAnsi="Arial" w:cs="Arial"/>
          <w:bCs/>
          <w:sz w:val="24"/>
          <w:szCs w:val="24"/>
        </w:rPr>
        <w:t xml:space="preserve"> </w:t>
      </w:r>
      <w:r w:rsidR="00CC6144">
        <w:rPr>
          <w:rFonts w:ascii="Arial" w:hAnsi="Arial" w:cs="Arial"/>
          <w:bCs/>
          <w:sz w:val="24"/>
          <w:szCs w:val="24"/>
        </w:rPr>
        <w:t>no se destina</w:t>
      </w:r>
      <w:r w:rsidRPr="0034543D">
        <w:rPr>
          <w:rFonts w:ascii="Arial" w:hAnsi="Arial" w:cs="Arial"/>
          <w:bCs/>
          <w:sz w:val="24"/>
          <w:szCs w:val="24"/>
        </w:rPr>
        <w:t xml:space="preserve"> a dichos servicios para garantizar progresivamente el derecho humano al agua, hasta alcanzar l</w:t>
      </w:r>
      <w:r w:rsidR="008431E8" w:rsidRPr="0034543D">
        <w:rPr>
          <w:rFonts w:ascii="Arial" w:hAnsi="Arial" w:cs="Arial"/>
          <w:bCs/>
          <w:sz w:val="24"/>
          <w:szCs w:val="24"/>
        </w:rPr>
        <w:t>a cobertura total de los servicios de distribución de agua potable y saneamiento de manera unificada e integral.</w:t>
      </w:r>
    </w:p>
    <w:p w:rsidR="0034543D" w:rsidRPr="0034543D" w:rsidRDefault="0034543D" w:rsidP="0034543D">
      <w:pPr>
        <w:pStyle w:val="Prrafodelista"/>
        <w:rPr>
          <w:rFonts w:ascii="Arial" w:hAnsi="Arial" w:cs="Arial"/>
          <w:sz w:val="24"/>
          <w:szCs w:val="24"/>
        </w:rPr>
      </w:pPr>
    </w:p>
    <w:p w:rsidR="00CC6144" w:rsidRPr="00CC6144" w:rsidRDefault="00CC6144" w:rsidP="004E115E">
      <w:pPr>
        <w:pStyle w:val="Prrafodelista"/>
        <w:numPr>
          <w:ilvl w:val="0"/>
          <w:numId w:val="1"/>
        </w:numPr>
        <w:spacing w:after="48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Los niveles federal y estatal </w:t>
      </w:r>
      <w:r w:rsidRPr="00CC6144">
        <w:rPr>
          <w:rFonts w:ascii="Arial" w:hAnsi="Arial" w:cs="Arial"/>
          <w:bCs/>
          <w:sz w:val="24"/>
          <w:szCs w:val="24"/>
        </w:rPr>
        <w:t>no complementan ni regulan claramente el nivel municipal en su responsabilidad d</w:t>
      </w:r>
      <w:r>
        <w:rPr>
          <w:rFonts w:ascii="Arial" w:hAnsi="Arial" w:cs="Arial"/>
          <w:bCs/>
          <w:sz w:val="24"/>
          <w:szCs w:val="24"/>
        </w:rPr>
        <w:t xml:space="preserve">e suministrar servicios de </w:t>
      </w:r>
      <w:proofErr w:type="spellStart"/>
      <w:r>
        <w:rPr>
          <w:rFonts w:ascii="Arial" w:hAnsi="Arial" w:cs="Arial"/>
          <w:bCs/>
          <w:sz w:val="24"/>
          <w:szCs w:val="24"/>
        </w:rPr>
        <w:t>AyS</w:t>
      </w:r>
      <w:proofErr w:type="spellEnd"/>
      <w:r>
        <w:rPr>
          <w:rFonts w:ascii="Arial" w:hAnsi="Arial" w:cs="Arial"/>
          <w:bCs/>
          <w:sz w:val="24"/>
          <w:szCs w:val="24"/>
        </w:rPr>
        <w:t>.</w:t>
      </w:r>
    </w:p>
    <w:p w:rsidR="00CC6144" w:rsidRPr="00CC6144" w:rsidRDefault="00CC6144" w:rsidP="00CC6144">
      <w:pPr>
        <w:pStyle w:val="Prrafodelista"/>
        <w:rPr>
          <w:rFonts w:ascii="Arial" w:hAnsi="Arial" w:cs="Arial"/>
          <w:bCs/>
          <w:sz w:val="24"/>
          <w:szCs w:val="24"/>
        </w:rPr>
      </w:pPr>
    </w:p>
    <w:p w:rsidR="0034543D" w:rsidRPr="00CC6144" w:rsidRDefault="00CC6144" w:rsidP="004E115E">
      <w:pPr>
        <w:pStyle w:val="Prrafodelista"/>
        <w:numPr>
          <w:ilvl w:val="0"/>
          <w:numId w:val="1"/>
        </w:numPr>
        <w:spacing w:after="48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</w:t>
      </w:r>
      <w:r w:rsidRPr="00CC6144">
        <w:rPr>
          <w:rFonts w:ascii="Arial" w:hAnsi="Arial" w:cs="Arial"/>
          <w:bCs/>
          <w:sz w:val="24"/>
          <w:szCs w:val="24"/>
        </w:rPr>
        <w:t xml:space="preserve"> nivel municipal los factores políticos contribuyen a una prest</w:t>
      </w:r>
      <w:r>
        <w:rPr>
          <w:rFonts w:ascii="Arial" w:hAnsi="Arial" w:cs="Arial"/>
          <w:bCs/>
          <w:sz w:val="24"/>
          <w:szCs w:val="24"/>
        </w:rPr>
        <w:t xml:space="preserve">ación de servicios deficientes, al nombramiento de </w:t>
      </w:r>
      <w:r w:rsidRPr="00CC6144">
        <w:rPr>
          <w:rFonts w:ascii="Arial" w:hAnsi="Arial" w:cs="Arial"/>
          <w:bCs/>
          <w:sz w:val="24"/>
          <w:szCs w:val="24"/>
        </w:rPr>
        <w:t>personas que no tienen</w:t>
      </w:r>
      <w:r>
        <w:rPr>
          <w:rFonts w:ascii="Arial" w:hAnsi="Arial" w:cs="Arial"/>
          <w:bCs/>
          <w:sz w:val="24"/>
          <w:szCs w:val="24"/>
        </w:rPr>
        <w:t xml:space="preserve"> el perfil técnico o administrativo necesario, </w:t>
      </w:r>
      <w:r w:rsidRPr="00CC6144">
        <w:rPr>
          <w:rFonts w:ascii="Arial" w:hAnsi="Arial" w:cs="Arial"/>
          <w:bCs/>
          <w:sz w:val="24"/>
          <w:szCs w:val="24"/>
        </w:rPr>
        <w:t xml:space="preserve">cambios frecuentes de la administración y </w:t>
      </w:r>
      <w:r>
        <w:rPr>
          <w:rFonts w:ascii="Arial" w:hAnsi="Arial" w:cs="Arial"/>
          <w:bCs/>
          <w:sz w:val="24"/>
          <w:szCs w:val="24"/>
        </w:rPr>
        <w:t>de</w:t>
      </w:r>
      <w:r w:rsidRPr="00CC6144">
        <w:rPr>
          <w:rFonts w:ascii="Arial" w:hAnsi="Arial" w:cs="Arial"/>
          <w:bCs/>
          <w:sz w:val="24"/>
          <w:szCs w:val="24"/>
        </w:rPr>
        <w:t xml:space="preserve"> funcionarios superiores, aplicación inconsistente y deficiente de las políticas, proyectos y programas</w:t>
      </w:r>
      <w:r>
        <w:rPr>
          <w:rFonts w:ascii="Arial" w:hAnsi="Arial" w:cs="Arial"/>
          <w:bCs/>
          <w:sz w:val="24"/>
          <w:szCs w:val="24"/>
        </w:rPr>
        <w:t>.</w:t>
      </w:r>
    </w:p>
    <w:p w:rsidR="00CC6144" w:rsidRPr="00CC6144" w:rsidRDefault="00CC6144" w:rsidP="00CC6144">
      <w:pPr>
        <w:pStyle w:val="Prrafodelista"/>
        <w:rPr>
          <w:rFonts w:ascii="Arial" w:hAnsi="Arial" w:cs="Arial"/>
          <w:sz w:val="24"/>
          <w:szCs w:val="24"/>
        </w:rPr>
      </w:pPr>
    </w:p>
    <w:p w:rsidR="00CC6144" w:rsidRPr="00864004" w:rsidRDefault="00CC6144" w:rsidP="004E115E">
      <w:pPr>
        <w:pStyle w:val="Prrafodelista"/>
        <w:numPr>
          <w:ilvl w:val="0"/>
          <w:numId w:val="1"/>
        </w:numPr>
        <w:spacing w:after="48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CC6144">
        <w:rPr>
          <w:rFonts w:ascii="Arial" w:hAnsi="Arial" w:cs="Arial"/>
          <w:bCs/>
          <w:sz w:val="24"/>
          <w:szCs w:val="24"/>
        </w:rPr>
        <w:t xml:space="preserve">Los recortes a los presupuestos federales </w:t>
      </w:r>
      <w:r>
        <w:rPr>
          <w:rFonts w:ascii="Arial" w:hAnsi="Arial" w:cs="Arial"/>
          <w:bCs/>
          <w:sz w:val="24"/>
          <w:szCs w:val="24"/>
        </w:rPr>
        <w:t>han tenido un efecto dramático en el</w:t>
      </w:r>
      <w:r w:rsidRPr="00CC6144">
        <w:rPr>
          <w:rFonts w:ascii="Arial" w:hAnsi="Arial" w:cs="Arial"/>
          <w:bCs/>
          <w:sz w:val="24"/>
          <w:szCs w:val="24"/>
        </w:rPr>
        <w:t xml:space="preserve"> corto</w:t>
      </w:r>
      <w:r>
        <w:rPr>
          <w:rFonts w:ascii="Arial" w:hAnsi="Arial" w:cs="Arial"/>
          <w:bCs/>
          <w:sz w:val="24"/>
          <w:szCs w:val="24"/>
        </w:rPr>
        <w:t xml:space="preserve"> plazo</w:t>
      </w:r>
      <w:r w:rsidRPr="00CC6144">
        <w:rPr>
          <w:rFonts w:ascii="Arial" w:hAnsi="Arial" w:cs="Arial"/>
          <w:bCs/>
          <w:sz w:val="24"/>
          <w:szCs w:val="24"/>
        </w:rPr>
        <w:t xml:space="preserve"> en la realización progresiva de los </w:t>
      </w:r>
      <w:proofErr w:type="spellStart"/>
      <w:r w:rsidRPr="00CC6144">
        <w:rPr>
          <w:rFonts w:ascii="Arial" w:hAnsi="Arial" w:cs="Arial"/>
          <w:bCs/>
          <w:sz w:val="24"/>
          <w:szCs w:val="24"/>
        </w:rPr>
        <w:t>DHAyS</w:t>
      </w:r>
      <w:proofErr w:type="spellEnd"/>
      <w:r w:rsidR="00864004">
        <w:rPr>
          <w:rFonts w:ascii="Arial" w:hAnsi="Arial" w:cs="Arial"/>
          <w:bCs/>
          <w:sz w:val="24"/>
          <w:szCs w:val="24"/>
        </w:rPr>
        <w:t>.</w:t>
      </w:r>
    </w:p>
    <w:p w:rsidR="00864004" w:rsidRPr="00864004" w:rsidRDefault="00864004" w:rsidP="00864004">
      <w:pPr>
        <w:pStyle w:val="Prrafodelista"/>
        <w:rPr>
          <w:rFonts w:ascii="Arial" w:hAnsi="Arial" w:cs="Arial"/>
          <w:sz w:val="24"/>
          <w:szCs w:val="24"/>
        </w:rPr>
      </w:pPr>
    </w:p>
    <w:p w:rsidR="00864004" w:rsidRDefault="009A29C2" w:rsidP="004E115E">
      <w:pPr>
        <w:pStyle w:val="Prrafodelista"/>
        <w:numPr>
          <w:ilvl w:val="0"/>
          <w:numId w:val="1"/>
        </w:numPr>
        <w:spacing w:after="48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fundamental la r</w:t>
      </w:r>
      <w:r w:rsidR="00D14FB3">
        <w:rPr>
          <w:rFonts w:ascii="Arial" w:hAnsi="Arial" w:cs="Arial"/>
          <w:sz w:val="24"/>
          <w:szCs w:val="24"/>
        </w:rPr>
        <w:t xml:space="preserve">egulación de la prestación del servicio de </w:t>
      </w:r>
      <w:proofErr w:type="spellStart"/>
      <w:r w:rsidR="00D14FB3">
        <w:rPr>
          <w:rFonts w:ascii="Arial" w:hAnsi="Arial" w:cs="Arial"/>
          <w:sz w:val="24"/>
          <w:szCs w:val="24"/>
        </w:rPr>
        <w:t>APyS</w:t>
      </w:r>
      <w:proofErr w:type="spellEnd"/>
      <w:r w:rsidR="00D14FB3">
        <w:rPr>
          <w:rFonts w:ascii="Arial" w:hAnsi="Arial" w:cs="Arial"/>
          <w:sz w:val="24"/>
          <w:szCs w:val="24"/>
        </w:rPr>
        <w:t xml:space="preserve"> por parte de una tercera instancia independiente de los ayuntamientos, para propiciar el incremento en la eficiencia y eficacia, la profesionalización, la definición e implementación de indicadores de gestión, el control</w:t>
      </w:r>
      <w:r>
        <w:rPr>
          <w:rFonts w:ascii="Arial" w:hAnsi="Arial" w:cs="Arial"/>
          <w:sz w:val="24"/>
          <w:szCs w:val="24"/>
        </w:rPr>
        <w:t>,</w:t>
      </w:r>
      <w:r w:rsidR="00D14FB3">
        <w:rPr>
          <w:rFonts w:ascii="Arial" w:hAnsi="Arial" w:cs="Arial"/>
          <w:sz w:val="24"/>
          <w:szCs w:val="24"/>
        </w:rPr>
        <w:t xml:space="preserve"> la distribución de la información; la colaboración entre municipios, la implementación </w:t>
      </w:r>
      <w:r>
        <w:rPr>
          <w:rFonts w:ascii="Arial" w:hAnsi="Arial" w:cs="Arial"/>
          <w:sz w:val="24"/>
          <w:szCs w:val="24"/>
        </w:rPr>
        <w:t xml:space="preserve">conjunta </w:t>
      </w:r>
      <w:r w:rsidR="00D14FB3">
        <w:rPr>
          <w:rFonts w:ascii="Arial" w:hAnsi="Arial" w:cs="Arial"/>
          <w:sz w:val="24"/>
          <w:szCs w:val="24"/>
        </w:rPr>
        <w:t>de planes y programas, el cumplimiento de normas con relación a los usuarios, la transferencia de tecnología y muchas ventajas más.</w:t>
      </w:r>
    </w:p>
    <w:p w:rsidR="006D71DC" w:rsidRPr="006D71DC" w:rsidRDefault="006D71DC" w:rsidP="006D71DC">
      <w:pPr>
        <w:pStyle w:val="Prrafodelista"/>
        <w:rPr>
          <w:rFonts w:ascii="Arial" w:hAnsi="Arial" w:cs="Arial"/>
          <w:sz w:val="24"/>
          <w:szCs w:val="24"/>
        </w:rPr>
      </w:pPr>
    </w:p>
    <w:p w:rsidR="006D71DC" w:rsidRDefault="006D71DC" w:rsidP="006D71DC">
      <w:pPr>
        <w:pStyle w:val="Prrafodelista"/>
        <w:numPr>
          <w:ilvl w:val="0"/>
          <w:numId w:val="1"/>
        </w:numPr>
        <w:spacing w:after="48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prestación del servicio de agua potable y saneamiento, requieren de la participación de múltiples actores para la prevención de problemas tales como la sobre</w:t>
      </w:r>
      <w:r w:rsidR="00AF7157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xplotación o la contaminación de las aguas, para poder controlar, regular y custodiar la forma eficiente y eficaz los recursos hídricos.</w:t>
      </w:r>
    </w:p>
    <w:p w:rsidR="006D71DC" w:rsidRDefault="006D71DC" w:rsidP="006D71DC">
      <w:pPr>
        <w:pStyle w:val="Prrafodelista"/>
        <w:rPr>
          <w:rFonts w:ascii="Arial" w:hAnsi="Arial" w:cs="Arial"/>
          <w:sz w:val="24"/>
          <w:szCs w:val="24"/>
        </w:rPr>
      </w:pPr>
    </w:p>
    <w:p w:rsidR="006D71DC" w:rsidRDefault="006D71DC" w:rsidP="006D71D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 autoridades del agua a nivel estatal se encuentran en una situación ambigua, ya que por prescripción constitucional la administración del uso, explotación y aprovechamiento de las aguas nacionales compete a la Federación, mientras que lo referente a la prestación del servicio de agua potable, alcantarillado y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saneamiento es de competencia municipal. Cuestión similar sucede con el sector agrícola, el agua está contenida en la legislación agraria, bajo responsabilidad de autoridades agrarias, quienes tienen facultades exclusivas.</w:t>
      </w:r>
    </w:p>
    <w:p w:rsidR="006D71DC" w:rsidRDefault="006D71DC" w:rsidP="006D71D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Entonces, dónde quedó el estado. No hay un ente regulador que integre todos los servicios</w:t>
      </w:r>
      <w:r w:rsidR="003F2808">
        <w:rPr>
          <w:rFonts w:ascii="Arial" w:hAnsi="Arial" w:cs="Arial"/>
          <w:sz w:val="24"/>
          <w:szCs w:val="24"/>
        </w:rPr>
        <w:t xml:space="preserve"> del agua.</w:t>
      </w:r>
    </w:p>
    <w:p w:rsidR="003F2808" w:rsidRDefault="003F2808" w:rsidP="006D71D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F2808" w:rsidRDefault="003F2808" w:rsidP="006D71D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la práctica los estados desempeñan importantes tareas que no encuentran el sustento jurídico adecuado, debido a que es difícil diferenciar lo son las aguas nacionales.</w:t>
      </w:r>
    </w:p>
    <w:p w:rsidR="003F2808" w:rsidRDefault="003F2808" w:rsidP="006D71D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3F2808" w:rsidRDefault="003F2808" w:rsidP="006D71DC">
      <w:pPr>
        <w:pStyle w:val="Prrafodelist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tanto, se requiere mejorar el marco jurídico de la legislación de aguas de los estados, reenfocar el rol que los estados deben asumir en la gestión del agua y saneamiento y sus bienes inherentes</w:t>
      </w:r>
      <w:r w:rsidR="00492E09">
        <w:rPr>
          <w:rFonts w:ascii="Arial" w:hAnsi="Arial" w:cs="Arial"/>
          <w:sz w:val="24"/>
          <w:szCs w:val="24"/>
        </w:rPr>
        <w:t xml:space="preserve"> (vasos, lagunas, riberas y cauces de corrientes)</w:t>
      </w:r>
      <w:r>
        <w:rPr>
          <w:rFonts w:ascii="Arial" w:hAnsi="Arial" w:cs="Arial"/>
          <w:sz w:val="24"/>
          <w:szCs w:val="24"/>
        </w:rPr>
        <w:t xml:space="preserve">, como son agua para la población urbana y rural, la industria, la agricultura, la minería, </w:t>
      </w:r>
      <w:r w:rsidR="009F6747">
        <w:rPr>
          <w:rFonts w:ascii="Arial" w:hAnsi="Arial" w:cs="Arial"/>
          <w:sz w:val="24"/>
          <w:szCs w:val="24"/>
        </w:rPr>
        <w:t>caudal ecológico, etc.</w:t>
      </w:r>
    </w:p>
    <w:p w:rsidR="009F6747" w:rsidRPr="006D71DC" w:rsidRDefault="009F6747" w:rsidP="006D71D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F558EE" w:rsidRDefault="00492E09" w:rsidP="00BA6FA7">
      <w:pPr>
        <w:pStyle w:val="Prrafodelista"/>
        <w:numPr>
          <w:ilvl w:val="0"/>
          <w:numId w:val="1"/>
        </w:numPr>
        <w:spacing w:after="480" w:line="24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F558EE">
        <w:rPr>
          <w:rFonts w:ascii="Arial" w:hAnsi="Arial" w:cs="Arial"/>
          <w:sz w:val="24"/>
          <w:szCs w:val="24"/>
        </w:rPr>
        <w:t xml:space="preserve">Cabe una pregunta: de quién es el dominio de las aguas nacionales, cuando </w:t>
      </w:r>
      <w:r w:rsidR="00E639BC" w:rsidRPr="00F558EE">
        <w:rPr>
          <w:rFonts w:ascii="Arial" w:hAnsi="Arial" w:cs="Arial"/>
          <w:sz w:val="24"/>
          <w:szCs w:val="24"/>
        </w:rPr>
        <w:t>el Artículo 27 de la C</w:t>
      </w:r>
      <w:r w:rsidRPr="00F558EE">
        <w:rPr>
          <w:rFonts w:ascii="Arial" w:hAnsi="Arial" w:cs="Arial"/>
          <w:sz w:val="24"/>
          <w:szCs w:val="24"/>
        </w:rPr>
        <w:t xml:space="preserve">onstitución </w:t>
      </w:r>
      <w:r w:rsidR="00E639BC" w:rsidRPr="00F558EE">
        <w:rPr>
          <w:rFonts w:ascii="Arial" w:hAnsi="Arial" w:cs="Arial"/>
          <w:sz w:val="24"/>
          <w:szCs w:val="24"/>
        </w:rPr>
        <w:t xml:space="preserve">de México </w:t>
      </w:r>
      <w:r w:rsidRPr="00F558EE">
        <w:rPr>
          <w:rFonts w:ascii="Arial" w:hAnsi="Arial" w:cs="Arial"/>
          <w:sz w:val="24"/>
          <w:szCs w:val="24"/>
        </w:rPr>
        <w:t xml:space="preserve">indica </w:t>
      </w:r>
      <w:r w:rsidR="00E639BC" w:rsidRPr="00F558EE">
        <w:rPr>
          <w:rFonts w:ascii="Arial" w:hAnsi="Arial" w:cs="Arial"/>
          <w:i/>
          <w:sz w:val="24"/>
          <w:szCs w:val="24"/>
        </w:rPr>
        <w:t>“… cualesquiera otras aguas no incluidas en la enumeración anterior, se considerarán como parte integrante de la propiedad de los terrenos por los que corran o en los que se encuentren los depósitos, pero si se localizaren en dos o más predios, el aprovechamiento de esta agua se considerará de utilidad pública, y quedará sujeto a las disposiciones que dicten los estados”</w:t>
      </w:r>
      <w:r w:rsidR="00F660DB" w:rsidRPr="00F558EE">
        <w:rPr>
          <w:rFonts w:ascii="Arial" w:hAnsi="Arial" w:cs="Arial"/>
          <w:sz w:val="24"/>
          <w:szCs w:val="24"/>
        </w:rPr>
        <w:t>, d</w:t>
      </w:r>
      <w:r w:rsidR="00E639BC" w:rsidRPr="00F558EE">
        <w:rPr>
          <w:rFonts w:ascii="Arial" w:hAnsi="Arial" w:cs="Arial"/>
          <w:sz w:val="24"/>
          <w:szCs w:val="24"/>
        </w:rPr>
        <w:t>e ahí que haya “aguas de jurisdicción estatal” como un tipo diferenciado de las aguas de propiedad nacional</w:t>
      </w:r>
      <w:r w:rsidR="00F660DB" w:rsidRPr="00F558EE">
        <w:rPr>
          <w:rFonts w:ascii="Arial" w:hAnsi="Arial" w:cs="Arial"/>
          <w:sz w:val="24"/>
          <w:szCs w:val="24"/>
        </w:rPr>
        <w:t xml:space="preserve">, misma situación sucede con las “aguas de jurisdicción particular”. El término jurisdicción se torna confuso con el concepto de propiedad, ya que tanto estados como particulares consideran </w:t>
      </w:r>
      <w:r w:rsidR="00F236A6" w:rsidRPr="00F558EE">
        <w:rPr>
          <w:rFonts w:ascii="Arial" w:hAnsi="Arial" w:cs="Arial"/>
          <w:sz w:val="24"/>
          <w:szCs w:val="24"/>
        </w:rPr>
        <w:t xml:space="preserve">al agua de </w:t>
      </w:r>
      <w:r w:rsidR="00CF2385" w:rsidRPr="00F558EE">
        <w:rPr>
          <w:rFonts w:ascii="Arial" w:hAnsi="Arial" w:cs="Arial"/>
          <w:sz w:val="24"/>
          <w:szCs w:val="24"/>
        </w:rPr>
        <w:t>su</w:t>
      </w:r>
      <w:r w:rsidR="00F660DB" w:rsidRPr="00F558EE">
        <w:rPr>
          <w:rFonts w:ascii="Arial" w:hAnsi="Arial" w:cs="Arial"/>
          <w:sz w:val="24"/>
          <w:szCs w:val="24"/>
        </w:rPr>
        <w:t xml:space="preserve"> propiedad.</w:t>
      </w:r>
      <w:r w:rsidR="00CF2385" w:rsidRPr="00F558EE">
        <w:rPr>
          <w:rFonts w:ascii="Arial" w:hAnsi="Arial" w:cs="Arial"/>
          <w:sz w:val="24"/>
          <w:szCs w:val="24"/>
        </w:rPr>
        <w:t xml:space="preserve"> Es de observancia que unas mismas aguas pueden estar sujetas a diversas jurisdicciones, y por la concepción de éstas como objeto sino por las acciones u omisiones de autoridades y particulares que pueden tener afectación sobre éstas o en otros ámbitos vinculados al agua; uno de los casos más recientes</w:t>
      </w:r>
      <w:r w:rsidR="00A673CB" w:rsidRPr="00F558EE">
        <w:rPr>
          <w:rFonts w:ascii="Arial" w:hAnsi="Arial" w:cs="Arial"/>
          <w:sz w:val="24"/>
          <w:szCs w:val="24"/>
        </w:rPr>
        <w:t xml:space="preserve"> es el </w:t>
      </w:r>
      <w:r w:rsidR="00A673CB" w:rsidRPr="00F558EE">
        <w:rPr>
          <w:rFonts w:ascii="Arial" w:hAnsi="Arial" w:cs="Arial"/>
          <w:sz w:val="24"/>
          <w:szCs w:val="24"/>
        </w:rPr>
        <w:t xml:space="preserve">desastre ecológico en los ríos </w:t>
      </w:r>
      <w:proofErr w:type="spellStart"/>
      <w:r w:rsidR="00A673CB" w:rsidRPr="00F558EE">
        <w:rPr>
          <w:rFonts w:ascii="Arial" w:hAnsi="Arial" w:cs="Arial"/>
          <w:sz w:val="24"/>
          <w:szCs w:val="24"/>
        </w:rPr>
        <w:t>Bacanuchi</w:t>
      </w:r>
      <w:proofErr w:type="spellEnd"/>
      <w:r w:rsidR="00A673CB" w:rsidRPr="00F558EE">
        <w:rPr>
          <w:rFonts w:ascii="Arial" w:hAnsi="Arial" w:cs="Arial"/>
          <w:sz w:val="24"/>
          <w:szCs w:val="24"/>
        </w:rPr>
        <w:t xml:space="preserve"> y Sonora</w:t>
      </w:r>
      <w:r w:rsidR="00723438" w:rsidRPr="00F558EE">
        <w:rPr>
          <w:rFonts w:ascii="Arial" w:hAnsi="Arial" w:cs="Arial"/>
          <w:sz w:val="24"/>
          <w:szCs w:val="24"/>
        </w:rPr>
        <w:t> ocurrido</w:t>
      </w:r>
      <w:r w:rsidR="00A673CB" w:rsidRPr="00F558EE">
        <w:rPr>
          <w:rFonts w:ascii="Arial" w:hAnsi="Arial" w:cs="Arial"/>
          <w:sz w:val="24"/>
          <w:szCs w:val="24"/>
        </w:rPr>
        <w:t xml:space="preserve"> el </w:t>
      </w:r>
      <w:hyperlink r:id="rId8" w:tooltip="6 de agosto" w:history="1">
        <w:r w:rsidR="00A673CB" w:rsidRPr="00F558EE">
          <w:rPr>
            <w:rFonts w:ascii="Arial" w:hAnsi="Arial" w:cs="Arial"/>
            <w:sz w:val="24"/>
            <w:szCs w:val="24"/>
          </w:rPr>
          <w:t>6 de agosto</w:t>
        </w:r>
      </w:hyperlink>
      <w:r w:rsidR="00A673CB" w:rsidRPr="00F558EE">
        <w:rPr>
          <w:rFonts w:ascii="Arial" w:hAnsi="Arial" w:cs="Arial"/>
          <w:sz w:val="24"/>
          <w:szCs w:val="24"/>
        </w:rPr>
        <w:t> de </w:t>
      </w:r>
      <w:hyperlink r:id="rId9" w:tooltip="2014" w:history="1">
        <w:r w:rsidR="00A673CB" w:rsidRPr="00F558EE">
          <w:rPr>
            <w:rFonts w:ascii="Arial" w:hAnsi="Arial" w:cs="Arial"/>
            <w:sz w:val="24"/>
            <w:szCs w:val="24"/>
          </w:rPr>
          <w:t>2014</w:t>
        </w:r>
      </w:hyperlink>
      <w:r w:rsidR="00A673CB" w:rsidRPr="00F558EE">
        <w:rPr>
          <w:rFonts w:ascii="Arial" w:hAnsi="Arial" w:cs="Arial"/>
          <w:sz w:val="24"/>
          <w:szCs w:val="24"/>
        </w:rPr>
        <w:t> cuando 40,000 metros cúbicos de lixiviados de </w:t>
      </w:r>
      <w:hyperlink r:id="rId10" w:tooltip="Sulfato de cobre" w:history="1">
        <w:r w:rsidR="00A673CB" w:rsidRPr="00F558EE">
          <w:rPr>
            <w:rFonts w:ascii="Arial" w:hAnsi="Arial" w:cs="Arial"/>
            <w:sz w:val="24"/>
            <w:szCs w:val="24"/>
          </w:rPr>
          <w:t>sulfato de cobre</w:t>
        </w:r>
      </w:hyperlink>
      <w:r w:rsidR="00A673CB" w:rsidRPr="00F558EE">
        <w:rPr>
          <w:rFonts w:ascii="Arial" w:hAnsi="Arial" w:cs="Arial"/>
          <w:sz w:val="24"/>
          <w:szCs w:val="24"/>
        </w:rPr>
        <w:t> acidulado se vertieron en el arroyo Tinajas, y posteriormente en el </w:t>
      </w:r>
      <w:hyperlink r:id="rId11" w:tooltip="Afluente" w:history="1">
        <w:r w:rsidR="00A673CB" w:rsidRPr="00F558EE">
          <w:rPr>
            <w:rFonts w:ascii="Arial" w:hAnsi="Arial" w:cs="Arial"/>
            <w:sz w:val="24"/>
            <w:szCs w:val="24"/>
          </w:rPr>
          <w:t>afluente</w:t>
        </w:r>
      </w:hyperlink>
      <w:r w:rsidR="00A673CB" w:rsidRPr="00F558EE">
        <w:rPr>
          <w:rFonts w:ascii="Arial" w:hAnsi="Arial" w:cs="Arial"/>
          <w:sz w:val="24"/>
          <w:szCs w:val="24"/>
        </w:rPr>
        <w:t> de ambos cuerpos de agua,</w:t>
      </w:r>
      <w:r w:rsidR="00723438" w:rsidRPr="00F558EE">
        <w:rPr>
          <w:rFonts w:ascii="Arial" w:hAnsi="Arial" w:cs="Arial"/>
          <w:sz w:val="24"/>
          <w:szCs w:val="24"/>
        </w:rPr>
        <w:t xml:space="preserve"> afectando a siete municipios. La SEMARNAT a través de la PROFEPA identificó a grupo México como responsable del accidente. </w:t>
      </w:r>
      <w:r w:rsidR="00723438" w:rsidRPr="00F558EE">
        <w:rPr>
          <w:rFonts w:ascii="Arial" w:hAnsi="Arial" w:cs="Arial"/>
          <w:sz w:val="24"/>
          <w:szCs w:val="24"/>
        </w:rPr>
        <w:t>Después de las evalua</w:t>
      </w:r>
      <w:r w:rsidR="00723438" w:rsidRPr="00F558EE">
        <w:rPr>
          <w:rFonts w:ascii="Arial" w:hAnsi="Arial" w:cs="Arial"/>
          <w:sz w:val="24"/>
          <w:szCs w:val="24"/>
        </w:rPr>
        <w:t>ciones emitidas por la PROFEPA se encontraron</w:t>
      </w:r>
      <w:r w:rsidR="00723438" w:rsidRPr="00F558EE">
        <w:rPr>
          <w:rFonts w:ascii="Arial" w:hAnsi="Arial" w:cs="Arial"/>
          <w:sz w:val="24"/>
          <w:szCs w:val="24"/>
        </w:rPr>
        <w:t xml:space="preserve"> 50 irregularidades</w:t>
      </w:r>
      <w:r w:rsidR="00723438" w:rsidRPr="00F558EE">
        <w:rPr>
          <w:rFonts w:ascii="Arial" w:hAnsi="Arial" w:cs="Arial"/>
          <w:sz w:val="24"/>
          <w:szCs w:val="24"/>
        </w:rPr>
        <w:t xml:space="preserve">. Esto es que hasta que ocurren los accidentes, entonces entran en acción las autoridades, antes, al parecer no aparece el organismo federal, estatal o municipal que </w:t>
      </w:r>
      <w:r w:rsidR="00F236A6" w:rsidRPr="00F558EE">
        <w:rPr>
          <w:rFonts w:ascii="Arial" w:hAnsi="Arial" w:cs="Arial"/>
          <w:sz w:val="24"/>
          <w:szCs w:val="24"/>
        </w:rPr>
        <w:t>dé</w:t>
      </w:r>
      <w:r w:rsidR="00723438" w:rsidRPr="00F558EE">
        <w:rPr>
          <w:rFonts w:ascii="Arial" w:hAnsi="Arial" w:cs="Arial"/>
          <w:sz w:val="24"/>
          <w:szCs w:val="24"/>
        </w:rPr>
        <w:t xml:space="preserve"> seguimiento al cumplimiento de la normatividad.</w:t>
      </w:r>
      <w:r w:rsidR="00473523" w:rsidRPr="00F558EE">
        <w:rPr>
          <w:rFonts w:ascii="Arial" w:hAnsi="Arial" w:cs="Arial"/>
          <w:sz w:val="24"/>
          <w:szCs w:val="24"/>
        </w:rPr>
        <w:t xml:space="preserve"> La ley se ha vuelto confusa en definir con precisión cuáles son las aguas de jurisdicción estatal o particular.</w:t>
      </w:r>
      <w:r w:rsidR="00F558EE" w:rsidRPr="00F558EE">
        <w:rPr>
          <w:rFonts w:ascii="Arial" w:hAnsi="Arial" w:cs="Arial"/>
          <w:sz w:val="24"/>
          <w:szCs w:val="24"/>
        </w:rPr>
        <w:t xml:space="preserve"> </w:t>
      </w:r>
    </w:p>
    <w:p w:rsidR="00F558EE" w:rsidRDefault="00F558EE" w:rsidP="00F558EE">
      <w:pPr>
        <w:pStyle w:val="Prrafodelista"/>
        <w:spacing w:after="480" w:line="240" w:lineRule="auto"/>
        <w:ind w:left="714"/>
        <w:jc w:val="both"/>
        <w:rPr>
          <w:rFonts w:ascii="Arial" w:hAnsi="Arial" w:cs="Arial"/>
          <w:sz w:val="24"/>
          <w:szCs w:val="24"/>
        </w:rPr>
      </w:pPr>
    </w:p>
    <w:p w:rsidR="00F558EE" w:rsidRPr="00F558EE" w:rsidRDefault="00F558EE" w:rsidP="006B7F86">
      <w:pPr>
        <w:pStyle w:val="Prrafodelista"/>
        <w:spacing w:after="480" w:line="240" w:lineRule="auto"/>
        <w:ind w:left="71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</w:t>
      </w:r>
      <w:r w:rsidRPr="00F558EE">
        <w:rPr>
          <w:rFonts w:ascii="Arial" w:hAnsi="Arial" w:cs="Arial"/>
          <w:sz w:val="24"/>
          <w:szCs w:val="24"/>
        </w:rPr>
        <w:t xml:space="preserve"> enfoqu</w:t>
      </w:r>
      <w:r>
        <w:rPr>
          <w:rFonts w:ascii="Arial" w:hAnsi="Arial" w:cs="Arial"/>
          <w:sz w:val="24"/>
          <w:szCs w:val="24"/>
        </w:rPr>
        <w:t>e sobre el dominio de las</w:t>
      </w:r>
      <w:r w:rsidRPr="00F558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F558EE">
        <w:rPr>
          <w:rFonts w:ascii="Arial" w:hAnsi="Arial" w:cs="Arial"/>
          <w:sz w:val="24"/>
          <w:szCs w:val="24"/>
        </w:rPr>
        <w:t xml:space="preserve">guas ha impedido concebir la problemática hídrica, donde </w:t>
      </w:r>
      <w:r>
        <w:rPr>
          <w:rFonts w:ascii="Arial" w:hAnsi="Arial" w:cs="Arial"/>
          <w:sz w:val="24"/>
          <w:szCs w:val="24"/>
        </w:rPr>
        <w:t>aún queda</w:t>
      </w:r>
      <w:r w:rsidRPr="00F558EE">
        <w:rPr>
          <w:rFonts w:ascii="Arial" w:hAnsi="Arial" w:cs="Arial"/>
          <w:sz w:val="24"/>
          <w:szCs w:val="24"/>
        </w:rPr>
        <w:t xml:space="preserve">n dudas </w:t>
      </w:r>
      <w:r>
        <w:rPr>
          <w:rFonts w:ascii="Arial" w:hAnsi="Arial" w:cs="Arial"/>
          <w:sz w:val="24"/>
          <w:szCs w:val="24"/>
        </w:rPr>
        <w:t xml:space="preserve">sobre </w:t>
      </w:r>
      <w:r w:rsidRPr="00F558EE">
        <w:rPr>
          <w:rFonts w:ascii="Arial" w:hAnsi="Arial" w:cs="Arial"/>
          <w:sz w:val="24"/>
          <w:szCs w:val="24"/>
        </w:rPr>
        <w:t>los aspectos de propiedad</w:t>
      </w:r>
      <w:r>
        <w:rPr>
          <w:rFonts w:ascii="Arial" w:hAnsi="Arial" w:cs="Arial"/>
          <w:sz w:val="24"/>
          <w:szCs w:val="24"/>
        </w:rPr>
        <w:t>;</w:t>
      </w:r>
      <w:r w:rsidRPr="00F558E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la Ley se debe centrar </w:t>
      </w:r>
      <w:r w:rsidRPr="00F558EE">
        <w:rPr>
          <w:rFonts w:ascii="Arial" w:hAnsi="Arial" w:cs="Arial"/>
          <w:sz w:val="24"/>
          <w:szCs w:val="24"/>
        </w:rPr>
        <w:t xml:space="preserve">en los problemas más apremiantes </w:t>
      </w:r>
      <w:r>
        <w:rPr>
          <w:rFonts w:ascii="Arial" w:hAnsi="Arial" w:cs="Arial"/>
          <w:sz w:val="24"/>
          <w:szCs w:val="24"/>
        </w:rPr>
        <w:t>del sector agua, como son la contaminación y la sobreexplotación, que en si atañen al campo de la gestión y administración y no al campo del dominio de las aguas.</w:t>
      </w:r>
      <w:r w:rsidR="006B7F86">
        <w:rPr>
          <w:rFonts w:ascii="Arial" w:hAnsi="Arial" w:cs="Arial"/>
          <w:sz w:val="24"/>
          <w:szCs w:val="24"/>
        </w:rPr>
        <w:t xml:space="preserve"> </w:t>
      </w:r>
    </w:p>
    <w:sectPr w:rsidR="00F558EE" w:rsidRPr="00F558EE" w:rsidSect="00720108">
      <w:footerReference w:type="default" r:id="rId12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924" w:rsidRDefault="004D2924" w:rsidP="00AF7157">
      <w:pPr>
        <w:spacing w:after="0" w:line="240" w:lineRule="auto"/>
      </w:pPr>
      <w:r>
        <w:separator/>
      </w:r>
    </w:p>
  </w:endnote>
  <w:endnote w:type="continuationSeparator" w:id="0">
    <w:p w:rsidR="004D2924" w:rsidRDefault="004D2924" w:rsidP="00AF7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Theme="majorEastAsia" w:hAnsi="Times New Roman" w:cs="Times New Roman"/>
        <w:sz w:val="24"/>
        <w:szCs w:val="24"/>
        <w:lang w:val="es-ES"/>
      </w:rPr>
      <w:id w:val="1368722682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AF7157" w:rsidRPr="00AF7157" w:rsidRDefault="00AF7157">
        <w:pPr>
          <w:pStyle w:val="Piedepgin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AF7157">
          <w:rPr>
            <w:rFonts w:ascii="Times New Roman" w:eastAsiaTheme="majorEastAsia" w:hAnsi="Times New Roman" w:cs="Times New Roman"/>
            <w:sz w:val="24"/>
            <w:szCs w:val="24"/>
            <w:lang w:val="es-ES"/>
          </w:rPr>
          <w:t xml:space="preserve">pág. </w:t>
        </w:r>
        <w:r w:rsidRPr="00AF7157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AF7157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AF7157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Pr="00AF7157">
          <w:rPr>
            <w:rFonts w:ascii="Times New Roman" w:eastAsiaTheme="majorEastAsia" w:hAnsi="Times New Roman" w:cs="Times New Roman"/>
            <w:noProof/>
            <w:sz w:val="24"/>
            <w:szCs w:val="24"/>
            <w:lang w:val="es-ES"/>
          </w:rPr>
          <w:t>1</w:t>
        </w:r>
        <w:r w:rsidRPr="00AF7157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:rsidR="00AF7157" w:rsidRDefault="00AF715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924" w:rsidRDefault="004D2924" w:rsidP="00AF7157">
      <w:pPr>
        <w:spacing w:after="0" w:line="240" w:lineRule="auto"/>
      </w:pPr>
      <w:r>
        <w:separator/>
      </w:r>
    </w:p>
  </w:footnote>
  <w:footnote w:type="continuationSeparator" w:id="0">
    <w:p w:rsidR="004D2924" w:rsidRDefault="004D2924" w:rsidP="00AF7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711AB"/>
    <w:multiLevelType w:val="hybridMultilevel"/>
    <w:tmpl w:val="DFAEAB1E"/>
    <w:lvl w:ilvl="0" w:tplc="4ED82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844A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384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EC1B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BC4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6C98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2A5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0E8C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409B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8511E70"/>
    <w:multiLevelType w:val="hybridMultilevel"/>
    <w:tmpl w:val="BED6B4C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1E8"/>
    <w:rsid w:val="000236A4"/>
    <w:rsid w:val="001C4177"/>
    <w:rsid w:val="00271CC7"/>
    <w:rsid w:val="0034543D"/>
    <w:rsid w:val="00371CC1"/>
    <w:rsid w:val="003F2808"/>
    <w:rsid w:val="00473523"/>
    <w:rsid w:val="00492E09"/>
    <w:rsid w:val="004D2924"/>
    <w:rsid w:val="005640FA"/>
    <w:rsid w:val="00580A4E"/>
    <w:rsid w:val="005878B5"/>
    <w:rsid w:val="005D1428"/>
    <w:rsid w:val="006B7F86"/>
    <w:rsid w:val="006C0533"/>
    <w:rsid w:val="006D71DC"/>
    <w:rsid w:val="00704581"/>
    <w:rsid w:val="00720108"/>
    <w:rsid w:val="00723438"/>
    <w:rsid w:val="00762B7A"/>
    <w:rsid w:val="007E01E8"/>
    <w:rsid w:val="008214AB"/>
    <w:rsid w:val="008431E8"/>
    <w:rsid w:val="00844A96"/>
    <w:rsid w:val="00864004"/>
    <w:rsid w:val="00884611"/>
    <w:rsid w:val="009A29C2"/>
    <w:rsid w:val="009B42EB"/>
    <w:rsid w:val="009F6747"/>
    <w:rsid w:val="00A33B80"/>
    <w:rsid w:val="00A673CB"/>
    <w:rsid w:val="00AF7157"/>
    <w:rsid w:val="00C37F90"/>
    <w:rsid w:val="00C76419"/>
    <w:rsid w:val="00CC6144"/>
    <w:rsid w:val="00CF2385"/>
    <w:rsid w:val="00D009D1"/>
    <w:rsid w:val="00D14FB3"/>
    <w:rsid w:val="00D65D86"/>
    <w:rsid w:val="00D92A3C"/>
    <w:rsid w:val="00DA12E3"/>
    <w:rsid w:val="00E05732"/>
    <w:rsid w:val="00E639BC"/>
    <w:rsid w:val="00E65ED2"/>
    <w:rsid w:val="00EA1746"/>
    <w:rsid w:val="00ED7CC8"/>
    <w:rsid w:val="00F236A6"/>
    <w:rsid w:val="00F558EE"/>
    <w:rsid w:val="00F660DB"/>
    <w:rsid w:val="00FF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98FB83-9944-49D0-BBC6-C5157BA05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31E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673CB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7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7157"/>
  </w:style>
  <w:style w:type="paragraph" w:styleId="Piedepgina">
    <w:name w:val="footer"/>
    <w:basedOn w:val="Normal"/>
    <w:link w:val="PiedepginaCar"/>
    <w:uiPriority w:val="99"/>
    <w:unhideWhenUsed/>
    <w:rsid w:val="00AF71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71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33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6_de_agost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Afluent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s.wikipedia.org/wiki/Sulfato_de_cob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201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68CD-1BE0-4AC5-8FC0-53588AC75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909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Ramirez Rivera</dc:creator>
  <cp:keywords/>
  <dc:description/>
  <cp:lastModifiedBy>Humberto Ramirez Rivera</cp:lastModifiedBy>
  <cp:revision>11</cp:revision>
  <dcterms:created xsi:type="dcterms:W3CDTF">2019-09-03T18:36:00Z</dcterms:created>
  <dcterms:modified xsi:type="dcterms:W3CDTF">2019-09-04T23:32:00Z</dcterms:modified>
</cp:coreProperties>
</file>