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C8" w:rsidRDefault="004E4F2E">
      <w:pPr>
        <w:rPr>
          <w:rFonts w:ascii="Arial" w:hAnsi="Arial" w:cs="Arial"/>
          <w:sz w:val="24"/>
          <w:szCs w:val="24"/>
        </w:rPr>
      </w:pPr>
      <w:r w:rsidRPr="004E4F2E">
        <w:rPr>
          <w:rFonts w:ascii="Arial" w:hAnsi="Arial" w:cs="Arial"/>
          <w:sz w:val="24"/>
          <w:szCs w:val="24"/>
        </w:rPr>
        <w:t>Reflexiones para la reunión</w:t>
      </w:r>
      <w:r>
        <w:rPr>
          <w:rFonts w:ascii="Arial" w:hAnsi="Arial" w:cs="Arial"/>
          <w:sz w:val="24"/>
          <w:szCs w:val="24"/>
        </w:rPr>
        <w:t xml:space="preserve"> del 13 de septiembre</w:t>
      </w:r>
    </w:p>
    <w:p w:rsidR="004E4F2E" w:rsidRDefault="004E4F2E" w:rsidP="004E4F2E">
      <w:pPr>
        <w:jc w:val="both"/>
        <w:rPr>
          <w:rFonts w:ascii="Arial" w:hAnsi="Arial" w:cs="Arial"/>
          <w:sz w:val="24"/>
          <w:szCs w:val="24"/>
        </w:rPr>
      </w:pPr>
      <w:r w:rsidRPr="004E4F2E">
        <w:rPr>
          <w:rFonts w:ascii="Arial" w:hAnsi="Arial" w:cs="Arial"/>
          <w:sz w:val="24"/>
          <w:szCs w:val="24"/>
        </w:rPr>
        <w:t xml:space="preserve">Del documento “Relatoría 1er taller amplio construcción indicadores DDHHAS”, en este se menciona que el </w:t>
      </w:r>
      <w:r w:rsidRPr="004E4F2E">
        <w:rPr>
          <w:rFonts w:ascii="Arial" w:hAnsi="Arial" w:cs="Arial"/>
          <w:sz w:val="24"/>
          <w:szCs w:val="24"/>
        </w:rPr>
        <w:t xml:space="preserve">ejercicio </w:t>
      </w:r>
      <w:r w:rsidRPr="004E4F2E">
        <w:rPr>
          <w:rFonts w:ascii="Arial" w:hAnsi="Arial" w:cs="Arial"/>
          <w:sz w:val="24"/>
          <w:szCs w:val="24"/>
        </w:rPr>
        <w:t>que están realizando “</w:t>
      </w:r>
      <w:r w:rsidRPr="004E4F2E">
        <w:rPr>
          <w:rFonts w:ascii="Arial" w:hAnsi="Arial" w:cs="Arial"/>
          <w:sz w:val="24"/>
          <w:szCs w:val="24"/>
        </w:rPr>
        <w:t xml:space="preserve">está en función de los plazos de la Ley General de Agua, ya que en febrero </w:t>
      </w:r>
      <w:proofErr w:type="gramStart"/>
      <w:r w:rsidR="00C5287F">
        <w:rPr>
          <w:rFonts w:ascii="Arial" w:hAnsi="Arial" w:cs="Arial"/>
          <w:sz w:val="24"/>
          <w:szCs w:val="24"/>
        </w:rPr>
        <w:t>( de</w:t>
      </w:r>
      <w:proofErr w:type="gramEnd"/>
      <w:r w:rsidR="00C5287F">
        <w:rPr>
          <w:rFonts w:ascii="Arial" w:hAnsi="Arial" w:cs="Arial"/>
          <w:sz w:val="24"/>
          <w:szCs w:val="24"/>
        </w:rPr>
        <w:t xml:space="preserve"> 2020) </w:t>
      </w:r>
      <w:r w:rsidRPr="004E4F2E">
        <w:rPr>
          <w:rFonts w:ascii="Arial" w:hAnsi="Arial" w:cs="Arial"/>
          <w:sz w:val="24"/>
          <w:szCs w:val="24"/>
        </w:rPr>
        <w:t>se dará inicio al dictamen de propuestas de ley</w:t>
      </w:r>
      <w:r w:rsidRPr="004E4F2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por lo que debemos centrarnos en el desarrollo de las iniciativas que den lugar para insertarlas en la nueva LGA.</w:t>
      </w:r>
    </w:p>
    <w:p w:rsidR="004E4F2E" w:rsidRDefault="004E4F2E" w:rsidP="004E4F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amplios los tópicos del agua en el respeto a los DHAS</w:t>
      </w:r>
      <w:r w:rsidR="006C2B59">
        <w:rPr>
          <w:rFonts w:ascii="Arial" w:hAnsi="Arial" w:cs="Arial"/>
          <w:sz w:val="24"/>
          <w:szCs w:val="24"/>
        </w:rPr>
        <w:t>, principalmente agua</w:t>
      </w:r>
      <w:r>
        <w:rPr>
          <w:rFonts w:ascii="Arial" w:hAnsi="Arial" w:cs="Arial"/>
          <w:sz w:val="24"/>
          <w:szCs w:val="24"/>
        </w:rPr>
        <w:t xml:space="preserve"> para población urbana, rural y pueblos originarios; </w:t>
      </w:r>
      <w:r w:rsidR="006C2B59">
        <w:rPr>
          <w:rFonts w:ascii="Arial" w:hAnsi="Arial" w:cs="Arial"/>
          <w:sz w:val="24"/>
          <w:szCs w:val="24"/>
        </w:rPr>
        <w:t xml:space="preserve">otros temas a desarrollar son agua para </w:t>
      </w:r>
      <w:r>
        <w:rPr>
          <w:rFonts w:ascii="Arial" w:hAnsi="Arial" w:cs="Arial"/>
          <w:sz w:val="24"/>
          <w:szCs w:val="24"/>
        </w:rPr>
        <w:t xml:space="preserve">agricultura, industria, </w:t>
      </w:r>
      <w:r w:rsidR="006C2B59">
        <w:rPr>
          <w:rFonts w:ascii="Arial" w:hAnsi="Arial" w:cs="Arial"/>
          <w:sz w:val="24"/>
          <w:szCs w:val="24"/>
        </w:rPr>
        <w:t xml:space="preserve">energía </w:t>
      </w:r>
      <w:r>
        <w:rPr>
          <w:rFonts w:ascii="Arial" w:hAnsi="Arial" w:cs="Arial"/>
          <w:sz w:val="24"/>
          <w:szCs w:val="24"/>
        </w:rPr>
        <w:t xml:space="preserve">eléctrica, </w:t>
      </w:r>
      <w:r w:rsidR="006C2B59">
        <w:rPr>
          <w:rFonts w:ascii="Arial" w:hAnsi="Arial" w:cs="Arial"/>
          <w:sz w:val="24"/>
          <w:szCs w:val="24"/>
        </w:rPr>
        <w:t>entendiendo que los anteriores usos son consuntivos; mientras que agua de uso no consuntivo las hidroeléctricas.</w:t>
      </w:r>
    </w:p>
    <w:p w:rsidR="006C2B59" w:rsidRDefault="006C2B59" w:rsidP="004E4F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Actualmente la LAN e iniciativas de ley atienden el tema de </w:t>
      </w:r>
      <w:r>
        <w:rPr>
          <w:rFonts w:ascii="Arial" w:hAnsi="Arial" w:cs="Arial"/>
          <w:sz w:val="24"/>
          <w:szCs w:val="24"/>
        </w:rPr>
        <w:t xml:space="preserve">agua </w:t>
      </w:r>
      <w:r>
        <w:rPr>
          <w:rFonts w:ascii="Arial" w:hAnsi="Arial" w:cs="Arial"/>
          <w:sz w:val="24"/>
          <w:szCs w:val="24"/>
        </w:rPr>
        <w:t xml:space="preserve">para población urbana y rural, pero no lo concerniente a los </w:t>
      </w:r>
      <w:r>
        <w:rPr>
          <w:rFonts w:ascii="Arial" w:hAnsi="Arial" w:cs="Arial"/>
          <w:sz w:val="24"/>
          <w:szCs w:val="24"/>
        </w:rPr>
        <w:t>pueblos originarios</w:t>
      </w:r>
      <w:r>
        <w:rPr>
          <w:rFonts w:ascii="Arial" w:hAnsi="Arial" w:cs="Arial"/>
          <w:sz w:val="24"/>
          <w:szCs w:val="24"/>
        </w:rPr>
        <w:t>, que es la tendencia de desproveerlos de sus bienes de consumo y producción.</w:t>
      </w:r>
    </w:p>
    <w:p w:rsidR="00C5287F" w:rsidRDefault="000A06BF" w:rsidP="004E4F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Propongo, en principio, analicemos las propuestas de </w:t>
      </w:r>
      <w:r w:rsidR="008B7F8F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Agua para Todos</w:t>
      </w:r>
      <w:r w:rsidR="008B7F8F">
        <w:rPr>
          <w:rFonts w:ascii="Arial" w:hAnsi="Arial" w:cs="Arial"/>
          <w:sz w:val="24"/>
          <w:szCs w:val="24"/>
        </w:rPr>
        <w:t>”</w:t>
      </w:r>
      <w:r w:rsidR="00C5287F">
        <w:rPr>
          <w:rFonts w:ascii="Arial" w:hAnsi="Arial" w:cs="Arial"/>
          <w:sz w:val="24"/>
          <w:szCs w:val="24"/>
        </w:rPr>
        <w:t>.</w:t>
      </w:r>
    </w:p>
    <w:p w:rsidR="006C2B59" w:rsidRDefault="000A06BF" w:rsidP="004E4F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otro lado, las leyes estatales de agua</w:t>
      </w:r>
      <w:r w:rsidR="00C5287F">
        <w:rPr>
          <w:rFonts w:ascii="Arial" w:hAnsi="Arial" w:cs="Arial"/>
          <w:sz w:val="24"/>
          <w:szCs w:val="24"/>
        </w:rPr>
        <w:t xml:space="preserve"> y/o constituciones políticas estatales</w:t>
      </w:r>
      <w:r>
        <w:rPr>
          <w:rFonts w:ascii="Arial" w:hAnsi="Arial" w:cs="Arial"/>
          <w:sz w:val="24"/>
          <w:szCs w:val="24"/>
        </w:rPr>
        <w:t xml:space="preserve">, si bien no todas, de alguna manera abordan alguno de los puntos que menciona esta iniciativa y con mayor claridad, así por ejemplo, la Ley de Agua del Estado de Aguascalientes, </w:t>
      </w:r>
      <w:r w:rsidR="008B7F8F">
        <w:rPr>
          <w:rFonts w:ascii="Arial" w:hAnsi="Arial" w:cs="Arial"/>
          <w:sz w:val="24"/>
          <w:szCs w:val="24"/>
        </w:rPr>
        <w:t>en relación con lo que indica la iniciativa “Agua para Todos” sobre los temas</w:t>
      </w:r>
    </w:p>
    <w:tbl>
      <w:tblPr>
        <w:tblStyle w:val="Tablaconcuadrcula"/>
        <w:tblW w:w="9214" w:type="dxa"/>
        <w:tblInd w:w="137" w:type="dxa"/>
        <w:tblLook w:val="04A0" w:firstRow="1" w:lastRow="0" w:firstColumn="1" w:lastColumn="0" w:noHBand="0" w:noVBand="1"/>
      </w:tblPr>
      <w:tblGrid>
        <w:gridCol w:w="4274"/>
        <w:gridCol w:w="4940"/>
      </w:tblGrid>
      <w:tr w:rsidR="008B7F8F" w:rsidRPr="008B7F8F" w:rsidTr="008B7F8F">
        <w:trPr>
          <w:trHeight w:val="547"/>
        </w:trPr>
        <w:tc>
          <w:tcPr>
            <w:tcW w:w="4274" w:type="dxa"/>
          </w:tcPr>
          <w:p w:rsidR="008B7F8F" w:rsidRPr="008B7F8F" w:rsidRDefault="008B7F8F" w:rsidP="00D3328C">
            <w:pPr>
              <w:rPr>
                <w:rFonts w:ascii="Arial" w:hAnsi="Arial" w:cs="Arial"/>
              </w:rPr>
            </w:pPr>
            <w:r w:rsidRPr="008B7F8F">
              <w:rPr>
                <w:rFonts w:ascii="Arial" w:hAnsi="Arial" w:cs="Arial"/>
                <w:b/>
              </w:rPr>
              <w:t>Desvío y corrupción</w:t>
            </w:r>
            <w:r w:rsidRPr="008B7F8F">
              <w:rPr>
                <w:rFonts w:ascii="Arial" w:hAnsi="Arial" w:cs="Arial"/>
              </w:rPr>
              <w:t xml:space="preserve"> en manejo de recursos </w:t>
            </w:r>
          </w:p>
          <w:p w:rsidR="008B7F8F" w:rsidRPr="008B7F8F" w:rsidRDefault="008B7F8F" w:rsidP="00D3328C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vMerge w:val="restart"/>
          </w:tcPr>
          <w:p w:rsidR="008B7F8F" w:rsidRPr="008B7F8F" w:rsidRDefault="008B7F8F" w:rsidP="00D3328C">
            <w:pPr>
              <w:rPr>
                <w:rFonts w:ascii="Arial" w:hAnsi="Arial" w:cs="Arial"/>
              </w:rPr>
            </w:pPr>
            <w:r w:rsidRPr="008B7F8F">
              <w:rPr>
                <w:rFonts w:ascii="Arial" w:hAnsi="Arial" w:cs="Arial"/>
              </w:rPr>
              <w:t xml:space="preserve">La </w:t>
            </w:r>
            <w:r w:rsidRPr="008B7F8F">
              <w:rPr>
                <w:rFonts w:ascii="Arial" w:hAnsi="Arial" w:cs="Arial"/>
                <w:b/>
              </w:rPr>
              <w:t>Contraloría Ciudadana</w:t>
            </w:r>
            <w:r w:rsidRPr="008B7F8F">
              <w:rPr>
                <w:rFonts w:ascii="Arial" w:hAnsi="Arial" w:cs="Arial"/>
              </w:rPr>
              <w:t xml:space="preserve"> auto-organizada, </w:t>
            </w:r>
            <w:r w:rsidRPr="008B7F8F">
              <w:rPr>
                <w:rFonts w:ascii="Arial" w:hAnsi="Arial" w:cs="Arial"/>
                <w:b/>
              </w:rPr>
              <w:t>en coordinación con el Sistema Nacional Anti-Corrupción</w:t>
            </w:r>
            <w:r w:rsidRPr="008B7F8F">
              <w:rPr>
                <w:rFonts w:ascii="Arial" w:hAnsi="Arial" w:cs="Arial"/>
              </w:rPr>
              <w:t>, vigilará el cumplimiento con los planes y ejercicio de recursos</w:t>
            </w:r>
          </w:p>
        </w:tc>
      </w:tr>
      <w:tr w:rsidR="008B7F8F" w:rsidRPr="008B7F8F" w:rsidTr="008B7F8F">
        <w:trPr>
          <w:trHeight w:val="547"/>
        </w:trPr>
        <w:tc>
          <w:tcPr>
            <w:tcW w:w="4274" w:type="dxa"/>
          </w:tcPr>
          <w:p w:rsidR="008B7F8F" w:rsidRPr="008B7F8F" w:rsidRDefault="008B7F8F" w:rsidP="00D3328C">
            <w:pPr>
              <w:rPr>
                <w:rFonts w:ascii="Arial" w:hAnsi="Arial" w:cs="Arial"/>
                <w:b/>
              </w:rPr>
            </w:pPr>
            <w:r w:rsidRPr="008B7F8F">
              <w:rPr>
                <w:rFonts w:ascii="Arial" w:hAnsi="Arial" w:cs="Arial"/>
                <w:b/>
                <w:bCs/>
              </w:rPr>
              <w:t>Acceso al agua políticamente condicionado</w:t>
            </w:r>
          </w:p>
        </w:tc>
        <w:tc>
          <w:tcPr>
            <w:tcW w:w="4940" w:type="dxa"/>
            <w:vMerge/>
          </w:tcPr>
          <w:p w:rsidR="008B7F8F" w:rsidRPr="008B7F8F" w:rsidRDefault="008B7F8F" w:rsidP="00D3328C">
            <w:pPr>
              <w:rPr>
                <w:rFonts w:ascii="Arial" w:hAnsi="Arial" w:cs="Arial"/>
              </w:rPr>
            </w:pPr>
          </w:p>
        </w:tc>
      </w:tr>
    </w:tbl>
    <w:p w:rsidR="008B7F8F" w:rsidRPr="004E4F2E" w:rsidRDefault="008B7F8F" w:rsidP="004E4F2E">
      <w:pPr>
        <w:jc w:val="both"/>
        <w:rPr>
          <w:rFonts w:ascii="Arial" w:hAnsi="Arial" w:cs="Arial"/>
          <w:sz w:val="24"/>
          <w:szCs w:val="24"/>
        </w:rPr>
      </w:pPr>
    </w:p>
    <w:p w:rsidR="004E4F2E" w:rsidRDefault="00560F13" w:rsidP="004E4F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C5287F">
        <w:rPr>
          <w:rFonts w:ascii="Arial" w:hAnsi="Arial" w:cs="Arial"/>
          <w:sz w:val="24"/>
          <w:szCs w:val="24"/>
        </w:rPr>
        <w:t xml:space="preserve"> nuevo artículo en la</w:t>
      </w:r>
      <w:r w:rsidR="008B7F8F">
        <w:rPr>
          <w:rFonts w:ascii="Arial" w:hAnsi="Arial" w:cs="Arial"/>
          <w:sz w:val="24"/>
          <w:szCs w:val="24"/>
        </w:rPr>
        <w:t xml:space="preserve"> Ley indica</w:t>
      </w:r>
      <w:r w:rsidR="00C5287F">
        <w:rPr>
          <w:rFonts w:ascii="Arial" w:hAnsi="Arial" w:cs="Arial"/>
          <w:sz w:val="24"/>
          <w:szCs w:val="24"/>
        </w:rPr>
        <w:t>ría</w:t>
      </w:r>
      <w:r w:rsidR="008B7F8F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laconcuadrcula"/>
        <w:tblW w:w="9214" w:type="dxa"/>
        <w:tblInd w:w="137" w:type="dxa"/>
        <w:tblLook w:val="04A0" w:firstRow="1" w:lastRow="0" w:firstColumn="1" w:lastColumn="0" w:noHBand="0" w:noVBand="1"/>
      </w:tblPr>
      <w:tblGrid>
        <w:gridCol w:w="4274"/>
        <w:gridCol w:w="4940"/>
      </w:tblGrid>
      <w:tr w:rsidR="00C5287F" w:rsidRPr="008B7F8F" w:rsidTr="00C5287F">
        <w:trPr>
          <w:trHeight w:val="547"/>
        </w:trPr>
        <w:tc>
          <w:tcPr>
            <w:tcW w:w="4274" w:type="dxa"/>
            <w:vAlign w:val="center"/>
          </w:tcPr>
          <w:p w:rsidR="00C5287F" w:rsidRPr="008B7F8F" w:rsidRDefault="00C5287F" w:rsidP="00D3328C">
            <w:pPr>
              <w:rPr>
                <w:rFonts w:ascii="Arial" w:hAnsi="Arial" w:cs="Arial"/>
                <w:b/>
              </w:rPr>
            </w:pPr>
          </w:p>
        </w:tc>
        <w:tc>
          <w:tcPr>
            <w:tcW w:w="4940" w:type="dxa"/>
            <w:vAlign w:val="center"/>
          </w:tcPr>
          <w:p w:rsidR="00C5287F" w:rsidRDefault="00C5287F" w:rsidP="00C52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Propuesta (de la Ley de Agua de Aguascalientes)</w:t>
            </w:r>
          </w:p>
        </w:tc>
      </w:tr>
      <w:tr w:rsidR="008B7F8F" w:rsidRPr="008B7F8F" w:rsidTr="00D3328C">
        <w:trPr>
          <w:trHeight w:val="547"/>
        </w:trPr>
        <w:tc>
          <w:tcPr>
            <w:tcW w:w="4274" w:type="dxa"/>
          </w:tcPr>
          <w:p w:rsidR="008B7F8F" w:rsidRPr="008B7F8F" w:rsidRDefault="008B7F8F" w:rsidP="00D3328C">
            <w:pPr>
              <w:rPr>
                <w:rFonts w:ascii="Arial" w:hAnsi="Arial" w:cs="Arial"/>
              </w:rPr>
            </w:pPr>
            <w:r w:rsidRPr="008B7F8F">
              <w:rPr>
                <w:rFonts w:ascii="Arial" w:hAnsi="Arial" w:cs="Arial"/>
                <w:b/>
              </w:rPr>
              <w:t>Desvío y corrupción</w:t>
            </w:r>
            <w:r w:rsidRPr="008B7F8F">
              <w:rPr>
                <w:rFonts w:ascii="Arial" w:hAnsi="Arial" w:cs="Arial"/>
              </w:rPr>
              <w:t xml:space="preserve"> en manejo de recursos </w:t>
            </w:r>
          </w:p>
          <w:p w:rsidR="008B7F8F" w:rsidRPr="008B7F8F" w:rsidRDefault="008B7F8F" w:rsidP="00D3328C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vMerge w:val="restart"/>
          </w:tcPr>
          <w:p w:rsidR="008B7F8F" w:rsidRPr="008B7F8F" w:rsidRDefault="00535B33" w:rsidP="008B7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Artículo 27.- </w:t>
            </w:r>
            <w:r w:rsidR="00DC1904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 xml:space="preserve"> O</w:t>
            </w:r>
            <w:r w:rsidR="008B7F8F" w:rsidRPr="008B7F8F">
              <w:rPr>
                <w:rFonts w:ascii="Arial" w:hAnsi="Arial" w:cs="Arial"/>
              </w:rPr>
              <w:t xml:space="preserve">rganismo </w:t>
            </w:r>
            <w:r>
              <w:rPr>
                <w:rFonts w:ascii="Arial" w:hAnsi="Arial" w:cs="Arial"/>
              </w:rPr>
              <w:t>O</w:t>
            </w:r>
            <w:r w:rsidR="008B7F8F" w:rsidRPr="008B7F8F">
              <w:rPr>
                <w:rFonts w:ascii="Arial" w:hAnsi="Arial" w:cs="Arial"/>
              </w:rPr>
              <w:t xml:space="preserve">perador </w:t>
            </w:r>
            <w:r>
              <w:rPr>
                <w:rFonts w:ascii="Arial" w:hAnsi="Arial" w:cs="Arial"/>
              </w:rPr>
              <w:t>M</w:t>
            </w:r>
            <w:r w:rsidR="008B7F8F" w:rsidRPr="008B7F8F">
              <w:rPr>
                <w:rFonts w:ascii="Arial" w:hAnsi="Arial" w:cs="Arial"/>
              </w:rPr>
              <w:t>unicipal contará con un Consejo Directivo, Consejo Consultivo, un Director General, un Comisario y personal técnico y administrativo.</w:t>
            </w:r>
          </w:p>
          <w:p w:rsidR="008B7F8F" w:rsidRDefault="00535B33" w:rsidP="008B7F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Artículo 35.- Atribuciones del </w:t>
            </w:r>
            <w:r w:rsidR="008B7F8F">
              <w:rPr>
                <w:sz w:val="22"/>
                <w:szCs w:val="22"/>
              </w:rPr>
              <w:t>Comisario</w:t>
            </w:r>
          </w:p>
          <w:p w:rsidR="008B7F8F" w:rsidRPr="008B7F8F" w:rsidRDefault="008B7F8F" w:rsidP="008B7F8F">
            <w:pPr>
              <w:pStyle w:val="Default"/>
              <w:rPr>
                <w:sz w:val="22"/>
                <w:szCs w:val="22"/>
              </w:rPr>
            </w:pPr>
            <w:r w:rsidRPr="008B7F8F">
              <w:rPr>
                <w:sz w:val="22"/>
                <w:szCs w:val="22"/>
              </w:rPr>
              <w:t xml:space="preserve">I. Vigilar que la administración de los recursos se haga de acuerdo con lo que disponga la Ley, los programas y presupuestos aprobados; </w:t>
            </w:r>
          </w:p>
          <w:p w:rsidR="008B7F8F" w:rsidRPr="008B7F8F" w:rsidRDefault="008B7F8F" w:rsidP="008B7F8F">
            <w:pPr>
              <w:pStyle w:val="Default"/>
              <w:rPr>
                <w:sz w:val="22"/>
                <w:szCs w:val="22"/>
              </w:rPr>
            </w:pPr>
            <w:r w:rsidRPr="008B7F8F">
              <w:rPr>
                <w:sz w:val="22"/>
                <w:szCs w:val="22"/>
              </w:rPr>
              <w:t xml:space="preserve">II. Practicar la auditoría de los estados financieros y las de carácter técnico o administrativo al término del ejercicio o antes, si así lo considera conveniente; </w:t>
            </w:r>
          </w:p>
          <w:p w:rsidR="008B7F8F" w:rsidRPr="008B7F8F" w:rsidRDefault="008B7F8F" w:rsidP="008B7F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Pr="008B7F8F">
              <w:rPr>
                <w:sz w:val="22"/>
                <w:szCs w:val="22"/>
              </w:rPr>
              <w:t xml:space="preserve"> </w:t>
            </w:r>
          </w:p>
          <w:p w:rsidR="008B7F8F" w:rsidRPr="008B7F8F" w:rsidRDefault="008B7F8F" w:rsidP="008B7F8F">
            <w:pPr>
              <w:pStyle w:val="Default"/>
              <w:rPr>
                <w:sz w:val="22"/>
                <w:szCs w:val="22"/>
              </w:rPr>
            </w:pPr>
            <w:r w:rsidRPr="008B7F8F">
              <w:rPr>
                <w:sz w:val="22"/>
                <w:szCs w:val="22"/>
              </w:rPr>
              <w:t xml:space="preserve">VII. Verificar el cumplimiento de las obligaciones fiscales correspondientes por el uso o aprovechamiento de aguas y bienes nacionales inherentes; y </w:t>
            </w:r>
          </w:p>
          <w:p w:rsidR="008B7F8F" w:rsidRPr="008B7F8F" w:rsidRDefault="008B7F8F" w:rsidP="008B7F8F">
            <w:pPr>
              <w:pStyle w:val="Default"/>
              <w:rPr>
                <w:sz w:val="22"/>
                <w:szCs w:val="22"/>
              </w:rPr>
            </w:pPr>
            <w:r w:rsidRPr="008B7F8F">
              <w:rPr>
                <w:sz w:val="22"/>
                <w:szCs w:val="22"/>
              </w:rPr>
              <w:lastRenderedPageBreak/>
              <w:t xml:space="preserve">VIII. Supervisar permanentemente las operaciones del Organismo Operador Municipal. </w:t>
            </w:r>
          </w:p>
          <w:p w:rsidR="008B7F8F" w:rsidRPr="008B7F8F" w:rsidRDefault="008B7F8F" w:rsidP="008B7F8F">
            <w:pPr>
              <w:rPr>
                <w:rFonts w:ascii="Arial" w:hAnsi="Arial" w:cs="Arial"/>
              </w:rPr>
            </w:pPr>
            <w:r w:rsidRPr="008B7F8F">
              <w:rPr>
                <w:rFonts w:ascii="Arial" w:hAnsi="Arial" w:cs="Arial"/>
              </w:rPr>
              <w:t>El Comisario, para el debido cumplimiento de sus atribuciones, se podrá auxiliar del personal técnico que requiera, con cargo al organismo, con la aprobación del Consejo Directivo.</w:t>
            </w:r>
          </w:p>
        </w:tc>
      </w:tr>
      <w:tr w:rsidR="008B7F8F" w:rsidRPr="008B7F8F" w:rsidTr="00D3328C">
        <w:trPr>
          <w:trHeight w:val="547"/>
        </w:trPr>
        <w:tc>
          <w:tcPr>
            <w:tcW w:w="4274" w:type="dxa"/>
          </w:tcPr>
          <w:p w:rsidR="008B7F8F" w:rsidRPr="008B7F8F" w:rsidRDefault="008B7F8F" w:rsidP="00D3328C">
            <w:pPr>
              <w:rPr>
                <w:rFonts w:ascii="Arial" w:hAnsi="Arial" w:cs="Arial"/>
                <w:b/>
              </w:rPr>
            </w:pPr>
            <w:r w:rsidRPr="008B7F8F">
              <w:rPr>
                <w:rFonts w:ascii="Arial" w:hAnsi="Arial" w:cs="Arial"/>
                <w:b/>
                <w:bCs/>
              </w:rPr>
              <w:t>Acceso al agua políticamente condicionado</w:t>
            </w:r>
          </w:p>
        </w:tc>
        <w:tc>
          <w:tcPr>
            <w:tcW w:w="4940" w:type="dxa"/>
            <w:vMerge/>
          </w:tcPr>
          <w:p w:rsidR="008B7F8F" w:rsidRPr="008B7F8F" w:rsidRDefault="008B7F8F" w:rsidP="00D3328C">
            <w:pPr>
              <w:rPr>
                <w:rFonts w:ascii="Arial" w:hAnsi="Arial" w:cs="Arial"/>
              </w:rPr>
            </w:pPr>
          </w:p>
        </w:tc>
      </w:tr>
    </w:tbl>
    <w:p w:rsidR="008B7F8F" w:rsidRDefault="008B7F8F" w:rsidP="004E4F2E">
      <w:pPr>
        <w:jc w:val="both"/>
        <w:rPr>
          <w:rFonts w:ascii="Arial" w:hAnsi="Arial" w:cs="Arial"/>
          <w:sz w:val="24"/>
          <w:szCs w:val="24"/>
        </w:rPr>
      </w:pPr>
    </w:p>
    <w:p w:rsidR="00CC404F" w:rsidRDefault="00CC404F" w:rsidP="004E4F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Agua para los pueblos originarios</w:t>
      </w:r>
    </w:p>
    <w:p w:rsidR="00CC404F" w:rsidRDefault="00CC404F" w:rsidP="00CC40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 Constitución Política del Estado de Baja California:</w:t>
      </w:r>
    </w:p>
    <w:p w:rsidR="00CC404F" w:rsidRDefault="00CC404F" w:rsidP="00CC4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Sin poner en riesgo la unidad estatal, esta Constitución reconoce y garantiza el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derecho de los pueblos y comunidades indígenas a la libre determinación y, en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consecuencia a su autonomía.</w:t>
      </w:r>
    </w:p>
    <w:p w:rsidR="00CC404F" w:rsidRDefault="00CC404F" w:rsidP="00CC4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404F" w:rsidRDefault="00CC404F" w:rsidP="00CC4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promover la igualdad de oportunidades de los indígenas y eliminar cualquier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práctica discriminatoria, el Estado y los Municipios establecerán las instituciones y las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políticas públicas requeridas para garantizar la </w:t>
      </w:r>
      <w:r>
        <w:rPr>
          <w:rFonts w:ascii="Arial" w:hAnsi="Arial" w:cs="Arial"/>
          <w:sz w:val="24"/>
          <w:szCs w:val="24"/>
        </w:rPr>
        <w:t>vigencia de los derechos de los i</w:t>
      </w:r>
      <w:r>
        <w:rPr>
          <w:rFonts w:ascii="Arial" w:hAnsi="Arial" w:cs="Arial"/>
          <w:sz w:val="24"/>
          <w:szCs w:val="24"/>
        </w:rPr>
        <w:t>ndígenas 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desarrollo integral de sus pueblos y comunidades, las cuales tendrán que ser diseñadas 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operadas conjuntamente con ellos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CC404F" w:rsidRDefault="00CC404F" w:rsidP="00CC4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404F" w:rsidRDefault="00CC404F" w:rsidP="00CC4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objeto de incorporar a los pueblos originarios en la LGA, </w:t>
      </w:r>
      <w:r w:rsidR="00C5287F">
        <w:rPr>
          <w:rFonts w:ascii="Arial" w:hAnsi="Arial" w:cs="Arial"/>
          <w:sz w:val="24"/>
          <w:szCs w:val="24"/>
        </w:rPr>
        <w:t>la iniciativa Agua para Todo menciona:</w:t>
      </w:r>
    </w:p>
    <w:p w:rsidR="00CC404F" w:rsidRDefault="00CC404F" w:rsidP="00CC4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214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CC404F" w:rsidRPr="00C5287F" w:rsidTr="00C5287F">
        <w:tc>
          <w:tcPr>
            <w:tcW w:w="4253" w:type="dxa"/>
          </w:tcPr>
          <w:p w:rsidR="00CC404F" w:rsidRPr="00C5287F" w:rsidRDefault="00CC404F" w:rsidP="00C5287F">
            <w:pPr>
              <w:jc w:val="both"/>
              <w:rPr>
                <w:rFonts w:ascii="Arial" w:hAnsi="Arial" w:cs="Arial"/>
              </w:rPr>
            </w:pPr>
            <w:r w:rsidRPr="00C5287F">
              <w:rPr>
                <w:rFonts w:ascii="Arial" w:hAnsi="Arial" w:cs="Arial"/>
                <w:b/>
              </w:rPr>
              <w:t>La Conagua registró las fuentes de agua de los pueblos indígenas en nombre de los municipios</w:t>
            </w:r>
            <w:r w:rsidRPr="00C5287F">
              <w:rPr>
                <w:rFonts w:ascii="Arial" w:hAnsi="Arial" w:cs="Arial"/>
              </w:rPr>
              <w:t>, lo cual deja a los pueblos sin mecanismos para garantizar que el gobierno municipal respete sus derechos sobre las aguas en sus territorios</w:t>
            </w:r>
          </w:p>
        </w:tc>
        <w:tc>
          <w:tcPr>
            <w:tcW w:w="4961" w:type="dxa"/>
          </w:tcPr>
          <w:p w:rsidR="00CC404F" w:rsidRPr="00C5287F" w:rsidRDefault="00CC404F" w:rsidP="00C5287F">
            <w:pPr>
              <w:jc w:val="both"/>
              <w:rPr>
                <w:rFonts w:ascii="Arial" w:hAnsi="Arial" w:cs="Arial"/>
              </w:rPr>
            </w:pPr>
            <w:r w:rsidRPr="00C5287F">
              <w:rPr>
                <w:rFonts w:ascii="Arial" w:hAnsi="Arial" w:cs="Arial"/>
              </w:rPr>
              <w:t>Las fuentes de agua en los territorios indígenas serían registradas en su nombre y se respetaría el derecho a la libre determinación de los pueblos sobre las aguas en sus territorios. Los pueblos participarían en los planes municipales de agua y saneamiento, y tendrían que consultados sobre autorizaciones u obras que pudiera afectar sus derechos a las aguas en sus territorios.</w:t>
            </w:r>
          </w:p>
        </w:tc>
      </w:tr>
    </w:tbl>
    <w:p w:rsidR="00CC404F" w:rsidRDefault="00CC404F" w:rsidP="00CC4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404F" w:rsidRDefault="00C5287F" w:rsidP="00CC4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propone</w:t>
      </w:r>
    </w:p>
    <w:p w:rsidR="00C5287F" w:rsidRDefault="00C5287F" w:rsidP="00CC4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C5287F" w:rsidTr="00C5287F">
        <w:trPr>
          <w:trHeight w:val="483"/>
        </w:trPr>
        <w:tc>
          <w:tcPr>
            <w:tcW w:w="4395" w:type="dxa"/>
            <w:vAlign w:val="center"/>
          </w:tcPr>
          <w:p w:rsidR="00C5287F" w:rsidRPr="00C5287F" w:rsidRDefault="00C5287F" w:rsidP="00C5287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vAlign w:val="center"/>
          </w:tcPr>
          <w:p w:rsidR="00C5287F" w:rsidRPr="00C5287F" w:rsidRDefault="00C5287F" w:rsidP="00C528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Propuesta</w:t>
            </w:r>
            <w:r w:rsidR="00560F13">
              <w:rPr>
                <w:rFonts w:ascii="Arial" w:hAnsi="Arial" w:cs="Arial"/>
              </w:rPr>
              <w:t xml:space="preserve"> (de la Const. Pol. Baja California)</w:t>
            </w:r>
          </w:p>
        </w:tc>
      </w:tr>
      <w:tr w:rsidR="00C5287F" w:rsidTr="00C5287F">
        <w:tc>
          <w:tcPr>
            <w:tcW w:w="4395" w:type="dxa"/>
          </w:tcPr>
          <w:p w:rsidR="00C5287F" w:rsidRPr="00C5287F" w:rsidRDefault="00C5287F" w:rsidP="00C5287F">
            <w:pPr>
              <w:jc w:val="both"/>
              <w:rPr>
                <w:rFonts w:ascii="Arial" w:hAnsi="Arial" w:cs="Arial"/>
              </w:rPr>
            </w:pPr>
            <w:r w:rsidRPr="00C5287F">
              <w:rPr>
                <w:rFonts w:ascii="Arial" w:hAnsi="Arial" w:cs="Arial"/>
                <w:b/>
              </w:rPr>
              <w:t>La Conagua registró las fuentes de agua de los pueblos indígenas en nombre de los municipios</w:t>
            </w:r>
            <w:r w:rsidRPr="00C5287F">
              <w:rPr>
                <w:rFonts w:ascii="Arial" w:hAnsi="Arial" w:cs="Arial"/>
              </w:rPr>
              <w:t>, lo cual deja a los pueblos sin mecanismos para garantizar que el gobierno municipal respete sus derechos sobre las aguas en sus territorios</w:t>
            </w:r>
          </w:p>
        </w:tc>
        <w:tc>
          <w:tcPr>
            <w:tcW w:w="4961" w:type="dxa"/>
          </w:tcPr>
          <w:p w:rsidR="00C5287F" w:rsidRPr="00C5287F" w:rsidRDefault="00C5287F" w:rsidP="00AA4F3C">
            <w:pPr>
              <w:jc w:val="both"/>
              <w:rPr>
                <w:rFonts w:ascii="Arial" w:hAnsi="Arial" w:cs="Arial"/>
              </w:rPr>
            </w:pPr>
            <w:r w:rsidRPr="00C5287F">
              <w:rPr>
                <w:rFonts w:ascii="Arial" w:hAnsi="Arial" w:cs="Arial"/>
              </w:rPr>
              <w:t>Las fuentes de agua en los territorios indígenas serían registradas en su nombre y se respetaría el derecho a la libre determinación de los pueblos sobre las aguas en sus territorios</w:t>
            </w:r>
            <w:r w:rsidRPr="00C5287F">
              <w:rPr>
                <w:rFonts w:ascii="Arial" w:hAnsi="Arial" w:cs="Arial"/>
              </w:rPr>
              <w:t xml:space="preserve"> y en su autonomía</w:t>
            </w:r>
            <w:r w:rsidR="00AA4F3C">
              <w:rPr>
                <w:rFonts w:ascii="Arial" w:hAnsi="Arial" w:cs="Arial"/>
              </w:rPr>
              <w:t xml:space="preserve"> en su uso, aprovechamiento y conservación</w:t>
            </w:r>
            <w:r w:rsidRPr="00C5287F">
              <w:rPr>
                <w:rFonts w:ascii="Arial" w:hAnsi="Arial" w:cs="Arial"/>
              </w:rPr>
              <w:t xml:space="preserve">. </w:t>
            </w:r>
            <w:r w:rsidR="00AA4F3C">
              <w:rPr>
                <w:rFonts w:ascii="Arial" w:hAnsi="Arial" w:cs="Arial"/>
              </w:rPr>
              <w:t>El</w:t>
            </w:r>
            <w:r w:rsidRPr="00C5287F">
              <w:rPr>
                <w:rFonts w:ascii="Arial" w:hAnsi="Arial" w:cs="Arial"/>
              </w:rPr>
              <w:t xml:space="preserve"> Estado establecerá</w:t>
            </w:r>
            <w:r w:rsidRPr="00C5287F">
              <w:rPr>
                <w:rFonts w:ascii="Arial" w:hAnsi="Arial" w:cs="Arial"/>
              </w:rPr>
              <w:t xml:space="preserve"> las instituciones y las políticas públicas requeridas para garantizar la vigencia de los derechos de los </w:t>
            </w:r>
            <w:r w:rsidRPr="00C5287F">
              <w:rPr>
                <w:rFonts w:ascii="Arial" w:hAnsi="Arial" w:cs="Arial"/>
              </w:rPr>
              <w:t>pueblos originarios</w:t>
            </w:r>
            <w:r w:rsidRPr="00C5287F">
              <w:rPr>
                <w:rFonts w:ascii="Arial" w:hAnsi="Arial" w:cs="Arial"/>
              </w:rPr>
              <w:t xml:space="preserve"> y el desarrollo integral de</w:t>
            </w:r>
            <w:r w:rsidR="00AA4F3C">
              <w:rPr>
                <w:rFonts w:ascii="Arial" w:hAnsi="Arial" w:cs="Arial"/>
              </w:rPr>
              <w:t>l</w:t>
            </w:r>
            <w:r w:rsidRPr="00C5287F">
              <w:rPr>
                <w:rFonts w:ascii="Arial" w:hAnsi="Arial" w:cs="Arial"/>
              </w:rPr>
              <w:t xml:space="preserve"> </w:t>
            </w:r>
            <w:r w:rsidR="00AA4F3C">
              <w:rPr>
                <w:rFonts w:ascii="Arial" w:hAnsi="Arial" w:cs="Arial"/>
              </w:rPr>
              <w:t>recurso hídrico</w:t>
            </w:r>
            <w:r w:rsidRPr="00C5287F">
              <w:rPr>
                <w:rFonts w:ascii="Arial" w:hAnsi="Arial" w:cs="Arial"/>
              </w:rPr>
              <w:t>, las cuales tendrán que ser diseñadas y operadas conjuntamente con ellos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C5287F" w:rsidRDefault="00C5287F" w:rsidP="00CC4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5287F" w:rsidSect="00C5287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2E"/>
    <w:rsid w:val="000236A4"/>
    <w:rsid w:val="000A06BF"/>
    <w:rsid w:val="001C4177"/>
    <w:rsid w:val="00271CC7"/>
    <w:rsid w:val="00371CC1"/>
    <w:rsid w:val="004E4F2E"/>
    <w:rsid w:val="00535B33"/>
    <w:rsid w:val="00560F13"/>
    <w:rsid w:val="005640FA"/>
    <w:rsid w:val="00580A4E"/>
    <w:rsid w:val="005878B5"/>
    <w:rsid w:val="005D1428"/>
    <w:rsid w:val="006C0533"/>
    <w:rsid w:val="006C2B59"/>
    <w:rsid w:val="00704581"/>
    <w:rsid w:val="00720108"/>
    <w:rsid w:val="00762B7A"/>
    <w:rsid w:val="007E01E8"/>
    <w:rsid w:val="008214AB"/>
    <w:rsid w:val="00844A96"/>
    <w:rsid w:val="00884611"/>
    <w:rsid w:val="008B7F8F"/>
    <w:rsid w:val="009B42EB"/>
    <w:rsid w:val="00A33B80"/>
    <w:rsid w:val="00AA4F3C"/>
    <w:rsid w:val="00C37F90"/>
    <w:rsid w:val="00C5287F"/>
    <w:rsid w:val="00C76419"/>
    <w:rsid w:val="00CC404F"/>
    <w:rsid w:val="00D009D1"/>
    <w:rsid w:val="00D65D86"/>
    <w:rsid w:val="00D92A3C"/>
    <w:rsid w:val="00DA12E3"/>
    <w:rsid w:val="00DC1904"/>
    <w:rsid w:val="00E05732"/>
    <w:rsid w:val="00E65ED2"/>
    <w:rsid w:val="00EA1746"/>
    <w:rsid w:val="00ED7CC8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0C432-0ECD-4905-B4C3-90C68155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7F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762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Ramirez Rivera</dc:creator>
  <cp:keywords/>
  <dc:description/>
  <cp:lastModifiedBy>Humberto Ramirez Rivera</cp:lastModifiedBy>
  <cp:revision>4</cp:revision>
  <dcterms:created xsi:type="dcterms:W3CDTF">2019-09-12T17:27:00Z</dcterms:created>
  <dcterms:modified xsi:type="dcterms:W3CDTF">2019-09-12T23:03:00Z</dcterms:modified>
</cp:coreProperties>
</file>